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right"/>
        <w:rPr>
          <w:rFonts w:ascii="Times New Roman" w:hAnsi="Times New Roman" w:cs="Times New Roman"/>
          <w:sz w:val="28"/>
          <w:szCs w:val="28"/>
        </w:rPr>
      </w:pPr>
      <w:bookmarkStart w:id="0" w:name="p1"/>
      <w:bookmarkStart w:id="1" w:name="p2"/>
      <w:bookmarkStart w:id="2" w:name="p4"/>
      <w:bookmarkEnd w:id="0"/>
      <w:bookmarkEnd w:id="1"/>
      <w:bookmarkEnd w:id="2"/>
      <w:r>
        <w:rPr>
          <w:rFonts w:ascii="Times New Roman" w:hAnsi="Times New Roman" w:cs="Times New Roman"/>
          <w:sz w:val="28"/>
          <w:szCs w:val="28"/>
        </w:rPr>
        <w:t xml:space="preserve">Приложение 1</w:t>
      </w:r>
    </w:p>
    <w:p>
      <w:pPr>
        <w:jc w:val="center"/>
        <w:rPr>
          <w:rFonts w:ascii="Times New Roman" w:hAnsi="Times New Roman"/>
          <w:b/>
          <w:sz w:val="28"/>
          <w:szCs w:val="28"/>
        </w:rPr>
      </w:pPr>
      <w:r>
        <w:rPr>
          <w:rFonts w:ascii="Times New Roman" w:hAnsi="Times New Roman"/>
          <w:b/>
          <w:sz w:val="28"/>
          <w:szCs w:val="28"/>
        </w:rPr>
        <w:t xml:space="preserve">Категории граждан, имеющих право на обучение на </w:t>
      </w:r>
      <w:r>
        <w:rPr>
          <w:rFonts w:ascii="Times New Roman" w:hAnsi="Times New Roman"/>
          <w:b/>
          <w:sz w:val="28"/>
          <w:szCs w:val="28"/>
        </w:rPr>
        <w:t xml:space="preserve">подготовительном отделении </w:t>
      </w:r>
      <w:r>
        <w:rPr>
          <w:rFonts w:ascii="Times New Roman" w:hAnsi="Times New Roman"/>
          <w:b/>
          <w:sz w:val="28"/>
          <w:szCs w:val="28"/>
        </w:rPr>
        <w:t xml:space="preserve">за счёт бюджетных ассигнований федерального бюджета</w:t>
      </w:r>
    </w:p>
    <w:p>
      <w:pPr>
        <w:spacing w:after="0" w:line="240" w:lineRule="auto"/>
        <w:ind w:right="-1" w:firstLine="709"/>
        <w:jc w:val="both"/>
        <w:rPr>
          <w:rFonts w:ascii="Times New Roman" w:hAnsi="Times New Roman"/>
          <w:sz w:val="28"/>
          <w:szCs w:val="28"/>
        </w:rPr>
      </w:pPr>
      <w:r>
        <w:rPr>
          <w:rFonts w:ascii="Times New Roman" w:hAnsi="Times New Roman"/>
          <w:sz w:val="28"/>
          <w:szCs w:val="28"/>
        </w:rPr>
        <w:t xml:space="preserve">Право на прием на Отделение на обучение за счет бюджетных ассигнований федерального бюджета в пределах квоты имеют</w:t>
      </w:r>
      <w:r>
        <w:rPr>
          <w:rFonts w:ascii="Times New Roman" w:hAnsi="Times New Roman"/>
          <w:sz w:val="28"/>
          <w:szCs w:val="28"/>
        </w:rPr>
        <w:t xml:space="preserve"> следующие</w:t>
      </w:r>
      <w:r>
        <w:rPr>
          <w:rFonts w:ascii="Times New Roman" w:hAnsi="Times New Roman"/>
          <w:sz w:val="28"/>
          <w:szCs w:val="28"/>
        </w:rPr>
        <w:t xml:space="preserve"> отдельны</w:t>
      </w:r>
      <w:r>
        <w:rPr>
          <w:rFonts w:ascii="Times New Roman" w:hAnsi="Times New Roman"/>
          <w:sz w:val="28"/>
          <w:szCs w:val="28"/>
        </w:rPr>
        <w:t xml:space="preserve">е</w:t>
      </w:r>
      <w:r>
        <w:rPr>
          <w:rFonts w:ascii="Times New Roman" w:hAnsi="Times New Roman"/>
          <w:sz w:val="28"/>
          <w:szCs w:val="28"/>
        </w:rPr>
        <w:t xml:space="preserve"> категори</w:t>
      </w:r>
      <w:r>
        <w:rPr>
          <w:rFonts w:ascii="Times New Roman" w:hAnsi="Times New Roman"/>
          <w:sz w:val="28"/>
          <w:szCs w:val="28"/>
        </w:rPr>
        <w:t xml:space="preserve">и</w:t>
      </w:r>
      <w:r>
        <w:rPr>
          <w:rFonts w:ascii="Times New Roman" w:hAnsi="Times New Roman"/>
          <w:sz w:val="28"/>
          <w:szCs w:val="28"/>
        </w:rPr>
        <w:t xml:space="preserve"> граждан, установленны</w:t>
      </w:r>
      <w:r>
        <w:rPr>
          <w:rFonts w:ascii="Times New Roman" w:hAnsi="Times New Roman"/>
          <w:sz w:val="28"/>
          <w:szCs w:val="28"/>
        </w:rPr>
        <w:t xml:space="preserve">е</w:t>
      </w:r>
      <w:r>
        <w:rPr>
          <w:rFonts w:ascii="Times New Roman" w:hAnsi="Times New Roman"/>
          <w:sz w:val="28"/>
          <w:szCs w:val="28"/>
        </w:rPr>
        <w:t xml:space="preserve"> законодательством Российской Федерации:</w:t>
      </w:r>
    </w:p>
    <w:p>
      <w:pPr>
        <w:pStyle w:val="a7"/>
        <w:spacing w:after="0" w:line="240" w:lineRule="auto"/>
        <w:ind w:left="0" w:right="-1" w:firstLine="709"/>
        <w:jc w:val="both"/>
        <w:rPr>
          <w:rFonts w:ascii="Times New Roman" w:hAnsi="Times New Roman"/>
          <w:sz w:val="28"/>
          <w:szCs w:val="28"/>
        </w:rPr>
      </w:pPr>
      <w:r>
        <w:rPr>
          <w:rFonts w:ascii="Times New Roman" w:hAnsi="Times New Roman"/>
          <w:sz w:val="28"/>
          <w:szCs w:val="28"/>
        </w:rPr>
        <w:t xml:space="preserve">1)</w:t>
      </w:r>
      <w:r>
        <w:rPr>
          <w:rFonts w:ascii="Times New Roman" w:hAnsi="Times New Roman"/>
          <w:sz w:val="28"/>
          <w:szCs w:val="28"/>
        </w:rPr>
        <w:t xml:space="preserve"> дети-сироты и дети, оставшиеся без попечения родителей, а также лица из числа детей-сирот и детей, оставшихся без попечения родителей;</w:t>
      </w:r>
    </w:p>
    <w:p>
      <w:pPr>
        <w:pStyle w:val="a7"/>
        <w:spacing w:after="0" w:line="240" w:lineRule="auto"/>
        <w:ind w:left="0" w:right="-1" w:firstLine="709"/>
        <w:jc w:val="both"/>
        <w:rPr>
          <w:rFonts w:ascii="Times New Roman" w:hAnsi="Times New Roman"/>
          <w:sz w:val="28"/>
          <w:szCs w:val="28"/>
        </w:rPr>
      </w:pPr>
      <w:r>
        <w:rPr>
          <w:rFonts w:ascii="Times New Roman" w:hAnsi="Times New Roman"/>
          <w:sz w:val="28"/>
          <w:szCs w:val="28"/>
        </w:rPr>
        <w:t xml:space="preserve">2)</w:t>
      </w:r>
      <w:r>
        <w:rPr>
          <w:rFonts w:ascii="Times New Roman" w:hAnsi="Times New Roman"/>
          <w:sz w:val="28"/>
          <w:szCs w:val="28"/>
        </w:rPr>
        <w:t xml:space="preserve"> дети-инвалиды, инвалиды I и II групп; </w:t>
      </w:r>
    </w:p>
    <w:p>
      <w:pPr>
        <w:pStyle w:val="a7"/>
        <w:spacing w:after="0" w:line="240" w:lineRule="auto"/>
        <w:ind w:left="0" w:right="-1" w:firstLine="709"/>
        <w:jc w:val="both"/>
        <w:rPr>
          <w:rFonts w:ascii="Times New Roman" w:hAnsi="Times New Roman"/>
          <w:sz w:val="28"/>
          <w:szCs w:val="28"/>
        </w:rPr>
      </w:pPr>
      <w:r>
        <w:rPr>
          <w:rFonts w:ascii="Times New Roman" w:hAnsi="Times New Roman"/>
          <w:sz w:val="28"/>
          <w:szCs w:val="28"/>
        </w:rPr>
        <w:t xml:space="preserve">3)</w:t>
      </w:r>
      <w:r>
        <w:rPr>
          <w:rFonts w:ascii="Times New Roman" w:hAnsi="Times New Roman"/>
          <w:sz w:val="28"/>
          <w:szCs w:val="28"/>
        </w:rPr>
        <w:t xml:space="preserve"> граждане в возрасте до двадцати лет, имеющие только одного родителя </w:t>
      </w:r>
      <w:r>
        <w:rPr>
          <w:rFonts w:ascii="Times New Roman" w:hAnsi="Times New Roman"/>
          <w:sz w:val="28"/>
          <w:szCs w:val="28"/>
        </w:rPr>
        <w:t xml:space="preserve">–</w:t>
      </w:r>
      <w:r>
        <w:rPr>
          <w:rFonts w:ascii="Times New Roman" w:hAnsi="Times New Roman"/>
          <w:sz w:val="28"/>
          <w:szCs w:val="28"/>
        </w:rPr>
        <w:t xml:space="preserve"> инвалида I группы, если среднедушевой доход семьи ниже величины прожиточного минимума, установленного в субъекте Российской Федерации по месту жительства указанных граждан; </w:t>
      </w:r>
    </w:p>
    <w:p>
      <w:pPr>
        <w:pStyle w:val="a7"/>
        <w:spacing w:after="0" w:line="240" w:lineRule="auto"/>
        <w:ind w:left="0" w:right="-1" w:firstLine="709"/>
        <w:jc w:val="both"/>
        <w:rPr>
          <w:rFonts w:ascii="Times New Roman" w:hAnsi="Times New Roman"/>
          <w:sz w:val="28"/>
          <w:szCs w:val="28"/>
        </w:rPr>
      </w:pPr>
      <w:r>
        <w:rPr>
          <w:rFonts w:ascii="Times New Roman" w:hAnsi="Times New Roman"/>
          <w:sz w:val="28"/>
          <w:szCs w:val="28"/>
        </w:rPr>
        <w:t xml:space="preserve">4)</w:t>
      </w:r>
      <w:r>
        <w:rPr>
          <w:rFonts w:ascii="Times New Roman" w:hAnsi="Times New Roman"/>
          <w:sz w:val="28"/>
          <w:szCs w:val="28"/>
        </w:rPr>
        <w:t xml:space="preserve"> граждане, которые подверглись воздействию радиации вследствие катастрофы на Чернобыльской АЭС и на которых распространяется действие Закона Российской Федерации от 15.05.1991 № 1244-1 «О социальной защите граждан, подвергшихся воздействию радиации вследствие катастрофы на Чернобыльской АЭС»; </w:t>
      </w:r>
    </w:p>
    <w:p>
      <w:pPr>
        <w:pStyle w:val="a7"/>
        <w:spacing w:after="0" w:line="240" w:lineRule="auto"/>
        <w:ind w:left="0" w:right="-1" w:firstLine="709"/>
        <w:jc w:val="both"/>
        <w:rPr>
          <w:rFonts w:ascii="Times New Roman" w:hAnsi="Times New Roman"/>
          <w:sz w:val="28"/>
          <w:szCs w:val="28"/>
        </w:rPr>
      </w:pPr>
      <w:r>
        <w:rPr>
          <w:rFonts w:ascii="Times New Roman" w:hAnsi="Times New Roman"/>
          <w:sz w:val="28"/>
          <w:szCs w:val="28"/>
        </w:rPr>
        <w:t xml:space="preserve">5)</w:t>
      </w:r>
      <w:r>
        <w:rPr>
          <w:rFonts w:ascii="Times New Roman" w:hAnsi="Times New Roman"/>
          <w:sz w:val="28"/>
          <w:szCs w:val="28"/>
        </w:rPr>
        <w:t xml:space="preserve"> дети военнослужащих, погибших при исполнении ими обязанностей военной службы или умерших вследствие увечья (ранения, травмы, контузии) либо заболеваний, полученных ими при исполнении обязанностей военной службы, в том числе при участии в проведении контртеррористических операций и (или) иных мероприятий по борьбе с терроризмом; </w:t>
      </w:r>
    </w:p>
    <w:p>
      <w:pPr>
        <w:pStyle w:val="a7"/>
        <w:spacing w:after="0" w:line="240" w:lineRule="auto"/>
        <w:ind w:left="0" w:right="-1" w:firstLine="709"/>
        <w:jc w:val="both"/>
        <w:rPr>
          <w:rFonts w:ascii="Times New Roman" w:hAnsi="Times New Roman"/>
          <w:sz w:val="28"/>
          <w:szCs w:val="28"/>
        </w:rPr>
      </w:pPr>
      <w:r>
        <w:rPr>
          <w:rFonts w:ascii="Times New Roman" w:hAnsi="Times New Roman"/>
          <w:sz w:val="28"/>
          <w:szCs w:val="28"/>
        </w:rPr>
        <w:t xml:space="preserve">6) </w:t>
      </w:r>
      <w:r>
        <w:rPr>
          <w:rFonts w:ascii="Times New Roman" w:hAnsi="Times New Roman"/>
          <w:sz w:val="28"/>
          <w:szCs w:val="28"/>
        </w:rPr>
        <w:t xml:space="preserve">дети умерших (погибших) Героев Советского Союза, Героев Российской Федерации и полных кавалеров ордена Славы; </w:t>
      </w:r>
    </w:p>
    <w:p>
      <w:pPr>
        <w:pStyle w:val="a7"/>
        <w:spacing w:after="0" w:line="240" w:lineRule="auto"/>
        <w:ind w:left="0" w:right="-1" w:firstLine="709"/>
        <w:jc w:val="both"/>
        <w:rPr>
          <w:rFonts w:ascii="Times New Roman" w:hAnsi="Times New Roman"/>
          <w:sz w:val="28"/>
          <w:szCs w:val="28"/>
        </w:rPr>
      </w:pPr>
      <w:r>
        <w:rPr>
          <w:rFonts w:ascii="Times New Roman" w:hAnsi="Times New Roman"/>
          <w:sz w:val="28"/>
          <w:szCs w:val="28"/>
        </w:rPr>
        <w:t xml:space="preserve">7) </w:t>
      </w:r>
      <w:r>
        <w:rPr>
          <w:rFonts w:ascii="Times New Roman" w:hAnsi="Times New Roman"/>
          <w:sz w:val="28"/>
          <w:szCs w:val="28"/>
        </w:rPr>
        <w:t xml:space="preserve">дети сотрудников органов внутренних дел, Федеральной службы войск национальной гвардии Российской Федерации, учреждений и органов уголовно-исполнительной системы, органов принудительного исполнения Российской Федерации, федеральной противопожарной службы Государственной противопожарной службы, органов по контролю за оборотом наркотических средств и психотропных веществ, таможенных органов, Следственного комитета Российской Федерации, погибших (умерших) вследствие увечья или иного повреждения здоровья, полученных ими в связи с выполнением служебных обязанностей, либо вследствие заболевания, полученного ими в период прохождения службы в указанных учреждениях и органах, и дети, находившиеся на их иждивении; </w:t>
      </w:r>
    </w:p>
    <w:p>
      <w:pPr>
        <w:pStyle w:val="a7"/>
        <w:spacing w:after="0" w:line="240" w:lineRule="auto"/>
        <w:ind w:left="0" w:right="-1" w:firstLine="709"/>
        <w:jc w:val="both"/>
        <w:rPr>
          <w:rFonts w:ascii="Times New Roman" w:hAnsi="Times New Roman"/>
          <w:sz w:val="28"/>
          <w:szCs w:val="28"/>
        </w:rPr>
      </w:pPr>
      <w:r>
        <w:rPr>
          <w:rFonts w:ascii="Times New Roman" w:hAnsi="Times New Roman"/>
          <w:sz w:val="28"/>
          <w:szCs w:val="28"/>
        </w:rPr>
        <w:t xml:space="preserve">8) </w:t>
      </w:r>
      <w:r>
        <w:rPr>
          <w:rFonts w:ascii="Times New Roman" w:hAnsi="Times New Roman"/>
          <w:sz w:val="28"/>
          <w:szCs w:val="28"/>
        </w:rPr>
        <w:t xml:space="preserve">дети прокурорских работников, погибших (умерших) вследствие увечья или иного повреждения здоровья, полученных ими в период прохождения службы в органах прокуратуры либо после увольнения вследствие причинения вреда здоровью в связи с их служебной деятельностью; </w:t>
      </w:r>
    </w:p>
    <w:p>
      <w:pPr>
        <w:pStyle w:val="a7"/>
        <w:spacing w:after="0" w:line="240" w:lineRule="auto"/>
        <w:ind w:left="0" w:right="-1" w:firstLine="709"/>
        <w:jc w:val="both"/>
        <w:rPr>
          <w:rFonts w:ascii="Times New Roman" w:hAnsi="Times New Roman"/>
          <w:sz w:val="28"/>
          <w:szCs w:val="28"/>
        </w:rPr>
      </w:pPr>
      <w:r>
        <w:rPr>
          <w:rFonts w:ascii="Times New Roman" w:hAnsi="Times New Roman"/>
          <w:sz w:val="28"/>
          <w:szCs w:val="28"/>
        </w:rPr>
        <w:t xml:space="preserve">9)</w:t>
      </w:r>
      <w:r>
        <w:rPr>
          <w:rFonts w:ascii="Times New Roman" w:hAnsi="Times New Roman"/>
          <w:sz w:val="28"/>
          <w:szCs w:val="28"/>
        </w:rPr>
        <w:t xml:space="preserve"> военнослужащие, которые проходят военную службу по контракту и непрерывная продолжительность военной службы по контракту которых составляет не менее трех лет, а также граждане, прошедшие военную службу по призыву и поступающие на обучение по рекомендациям командиров, выдаваемым гражданам в порядке, установленном федеральным органом исполнительной власти и </w:t>
      </w:r>
      <w:r>
        <w:rPr>
          <w:rFonts w:ascii="Times New Roman" w:hAnsi="Times New Roman"/>
          <w:sz w:val="28"/>
          <w:szCs w:val="28"/>
        </w:rPr>
        <w:t xml:space="preserve">федеральным государственным органом, в которых федеральным законом предусмотрена военная служба; </w:t>
      </w:r>
    </w:p>
    <w:p>
      <w:pPr>
        <w:pStyle w:val="a7"/>
        <w:spacing w:after="0" w:line="240" w:lineRule="auto"/>
        <w:ind w:left="0" w:right="-1" w:firstLine="709"/>
        <w:jc w:val="both"/>
        <w:rPr>
          <w:rFonts w:ascii="Times New Roman" w:hAnsi="Times New Roman"/>
          <w:sz w:val="28"/>
          <w:szCs w:val="28"/>
        </w:rPr>
      </w:pPr>
      <w:r>
        <w:rPr>
          <w:rFonts w:ascii="Times New Roman" w:hAnsi="Times New Roman"/>
          <w:sz w:val="28"/>
          <w:szCs w:val="28"/>
        </w:rPr>
        <w:t xml:space="preserve">10)</w:t>
      </w:r>
      <w:r>
        <w:rPr>
          <w:rFonts w:ascii="Times New Roman" w:hAnsi="Times New Roman"/>
          <w:sz w:val="28"/>
          <w:szCs w:val="28"/>
        </w:rPr>
        <w:t xml:space="preserve"> граждане, проходившие в течение не менее трех лет военную службу по контракту в Вооруженных Силах Российской Федерации, других войсках, воинских формированиях и органах на воинских должностях и уволенные с военной службы по основаниям, предусмотренным </w:t>
      </w:r>
      <w:hyperlink r:id="rId10" w:history="1">
        <w:r>
          <w:rPr>
            <w:rFonts w:ascii="Times New Roman" w:hAnsi="Times New Roman"/>
            <w:sz w:val="28"/>
            <w:szCs w:val="28"/>
          </w:rPr>
          <w:t xml:space="preserve">подпунктами </w:t>
        </w:r>
        <w:r>
          <w:rPr>
            <w:rFonts w:ascii="Times New Roman" w:hAnsi="Times New Roman"/>
            <w:sz w:val="28"/>
            <w:szCs w:val="28"/>
          </w:rPr>
          <w:t xml:space="preserve">«</w:t>
        </w:r>
        <w:r>
          <w:rPr>
            <w:rFonts w:ascii="Times New Roman" w:hAnsi="Times New Roman"/>
            <w:sz w:val="28"/>
            <w:szCs w:val="28"/>
          </w:rPr>
          <w:t xml:space="preserve">б</w:t>
        </w:r>
        <w:r>
          <w:rPr>
            <w:rFonts w:ascii="Times New Roman" w:hAnsi="Times New Roman"/>
            <w:sz w:val="28"/>
            <w:szCs w:val="28"/>
          </w:rPr>
          <w:t xml:space="preserve">»</w:t>
        </w:r>
      </w:hyperlink>
      <w:r>
        <w:rPr>
          <w:rFonts w:ascii="Times New Roman" w:hAnsi="Times New Roman"/>
          <w:sz w:val="28"/>
          <w:szCs w:val="28"/>
        </w:rPr>
        <w:t xml:space="preserve"> </w:t>
      </w:r>
      <w:r>
        <w:rPr>
          <w:rFonts w:ascii="Times New Roman" w:hAnsi="Times New Roman"/>
          <w:sz w:val="28"/>
          <w:szCs w:val="28"/>
        </w:rPr>
        <w:t xml:space="preserve">–</w:t>
      </w:r>
      <w:r>
        <w:rPr>
          <w:rFonts w:ascii="Times New Roman" w:hAnsi="Times New Roman"/>
          <w:sz w:val="28"/>
          <w:szCs w:val="28"/>
        </w:rPr>
        <w:t xml:space="preserve"> </w:t>
      </w:r>
      <w:hyperlink r:id="rId11" w:history="1">
        <w:r>
          <w:rPr>
            <w:rFonts w:ascii="Times New Roman" w:hAnsi="Times New Roman"/>
            <w:sz w:val="28"/>
            <w:szCs w:val="28"/>
          </w:rPr>
          <w:t xml:space="preserve">«</w:t>
        </w:r>
        <w:r>
          <w:rPr>
            <w:rFonts w:ascii="Times New Roman" w:hAnsi="Times New Roman"/>
            <w:sz w:val="28"/>
            <w:szCs w:val="28"/>
          </w:rPr>
          <w:t xml:space="preserve">г</w:t>
        </w:r>
        <w:r>
          <w:rPr>
            <w:rFonts w:ascii="Times New Roman" w:hAnsi="Times New Roman"/>
            <w:sz w:val="28"/>
            <w:szCs w:val="28"/>
          </w:rPr>
          <w:t xml:space="preserve">»</w:t>
        </w:r>
        <w:r>
          <w:rPr>
            <w:rFonts w:ascii="Times New Roman" w:hAnsi="Times New Roman"/>
            <w:sz w:val="28"/>
            <w:szCs w:val="28"/>
          </w:rPr>
          <w:t xml:space="preserve"> пункта 1</w:t>
        </w:r>
      </w:hyperlink>
      <w:r>
        <w:rPr>
          <w:rFonts w:ascii="Times New Roman" w:hAnsi="Times New Roman"/>
          <w:sz w:val="28"/>
          <w:szCs w:val="28"/>
        </w:rPr>
        <w:t xml:space="preserve">, </w:t>
      </w:r>
      <w:hyperlink r:id="rId12" w:history="1">
        <w:r>
          <w:rPr>
            <w:rFonts w:ascii="Times New Roman" w:hAnsi="Times New Roman"/>
            <w:sz w:val="28"/>
            <w:szCs w:val="28"/>
          </w:rPr>
          <w:t xml:space="preserve">подпунктом </w:t>
        </w:r>
        <w:r>
          <w:rPr>
            <w:rFonts w:ascii="Times New Roman" w:hAnsi="Times New Roman"/>
            <w:sz w:val="28"/>
            <w:szCs w:val="28"/>
          </w:rPr>
          <w:t xml:space="preserve">«</w:t>
        </w:r>
        <w:r>
          <w:rPr>
            <w:rFonts w:ascii="Times New Roman" w:hAnsi="Times New Roman"/>
            <w:sz w:val="28"/>
            <w:szCs w:val="28"/>
          </w:rPr>
          <w:t xml:space="preserve">а</w:t>
        </w:r>
        <w:r>
          <w:rPr>
            <w:rFonts w:ascii="Times New Roman" w:hAnsi="Times New Roman"/>
            <w:sz w:val="28"/>
            <w:szCs w:val="28"/>
          </w:rPr>
          <w:t xml:space="preserve">»</w:t>
        </w:r>
        <w:r>
          <w:rPr>
            <w:rFonts w:ascii="Times New Roman" w:hAnsi="Times New Roman"/>
            <w:sz w:val="28"/>
            <w:szCs w:val="28"/>
          </w:rPr>
          <w:t xml:space="preserve"> пункта 2</w:t>
        </w:r>
      </w:hyperlink>
      <w:r>
        <w:rPr>
          <w:rFonts w:ascii="Times New Roman" w:hAnsi="Times New Roman"/>
          <w:sz w:val="28"/>
          <w:szCs w:val="28"/>
        </w:rPr>
        <w:t xml:space="preserve"> и </w:t>
      </w:r>
      <w:hyperlink r:id="rId13" w:history="1">
        <w:r>
          <w:rPr>
            <w:rFonts w:ascii="Times New Roman" w:hAnsi="Times New Roman"/>
            <w:sz w:val="28"/>
            <w:szCs w:val="28"/>
          </w:rPr>
          <w:t xml:space="preserve">подпунктами </w:t>
        </w:r>
        <w:r>
          <w:rPr>
            <w:rFonts w:ascii="Times New Roman" w:hAnsi="Times New Roman"/>
            <w:sz w:val="28"/>
            <w:szCs w:val="28"/>
          </w:rPr>
          <w:t xml:space="preserve">«</w:t>
        </w:r>
        <w:r>
          <w:rPr>
            <w:rFonts w:ascii="Times New Roman" w:hAnsi="Times New Roman"/>
            <w:sz w:val="28"/>
            <w:szCs w:val="28"/>
          </w:rPr>
          <w:t xml:space="preserve">а</w:t>
        </w:r>
        <w:r>
          <w:rPr>
            <w:rFonts w:ascii="Times New Roman" w:hAnsi="Times New Roman"/>
            <w:sz w:val="28"/>
            <w:szCs w:val="28"/>
          </w:rPr>
          <w:t xml:space="preserve">»</w:t>
        </w:r>
      </w:hyperlink>
      <w:r>
        <w:rPr>
          <w:rFonts w:ascii="Times New Roman" w:hAnsi="Times New Roman"/>
          <w:sz w:val="28"/>
          <w:szCs w:val="28"/>
        </w:rPr>
        <w:t xml:space="preserve"> </w:t>
      </w:r>
      <w:r>
        <w:rPr>
          <w:rFonts w:ascii="Times New Roman" w:hAnsi="Times New Roman"/>
          <w:sz w:val="28"/>
          <w:szCs w:val="28"/>
        </w:rPr>
        <w:t xml:space="preserve">–</w:t>
      </w:r>
      <w:r>
        <w:rPr>
          <w:rFonts w:ascii="Times New Roman" w:hAnsi="Times New Roman"/>
          <w:sz w:val="28"/>
          <w:szCs w:val="28"/>
        </w:rPr>
        <w:t xml:space="preserve"> </w:t>
      </w:r>
      <w:hyperlink r:id="rId14" w:history="1">
        <w:r>
          <w:rPr>
            <w:rFonts w:ascii="Times New Roman" w:hAnsi="Times New Roman"/>
            <w:sz w:val="28"/>
            <w:szCs w:val="28"/>
          </w:rPr>
          <w:t xml:space="preserve">«</w:t>
        </w:r>
        <w:r>
          <w:rPr>
            <w:rFonts w:ascii="Times New Roman" w:hAnsi="Times New Roman"/>
            <w:sz w:val="28"/>
            <w:szCs w:val="28"/>
          </w:rPr>
          <w:t xml:space="preserve">в</w:t>
        </w:r>
        <w:r>
          <w:rPr>
            <w:rFonts w:ascii="Times New Roman" w:hAnsi="Times New Roman"/>
            <w:sz w:val="28"/>
            <w:szCs w:val="28"/>
          </w:rPr>
          <w:t xml:space="preserve">»</w:t>
        </w:r>
        <w:r>
          <w:rPr>
            <w:rFonts w:ascii="Times New Roman" w:hAnsi="Times New Roman"/>
            <w:sz w:val="28"/>
            <w:szCs w:val="28"/>
          </w:rPr>
          <w:t xml:space="preserve"> пункта 3 статьи 51</w:t>
        </w:r>
      </w:hyperlink>
      <w:r>
        <w:rPr>
          <w:rFonts w:ascii="Times New Roman" w:hAnsi="Times New Roman"/>
          <w:sz w:val="28"/>
          <w:szCs w:val="28"/>
        </w:rPr>
        <w:t xml:space="preserve"> Федерального закона от 28</w:t>
      </w:r>
      <w:r>
        <w:rPr>
          <w:rFonts w:ascii="Times New Roman" w:hAnsi="Times New Roman"/>
          <w:sz w:val="28"/>
          <w:szCs w:val="28"/>
        </w:rPr>
        <w:t xml:space="preserve">.03.1</w:t>
      </w:r>
      <w:r>
        <w:rPr>
          <w:rFonts w:ascii="Times New Roman" w:hAnsi="Times New Roman"/>
          <w:sz w:val="28"/>
          <w:szCs w:val="28"/>
        </w:rPr>
        <w:t xml:space="preserve">998</w:t>
      </w:r>
      <w:r>
        <w:rPr>
          <w:rFonts w:ascii="Times New Roman" w:hAnsi="Times New Roman"/>
          <w:sz w:val="28"/>
          <w:szCs w:val="28"/>
        </w:rPr>
        <w:t xml:space="preserve">  №</w:t>
      </w:r>
      <w:r>
        <w:rPr>
          <w:rFonts w:ascii="Times New Roman" w:hAnsi="Times New Roman"/>
          <w:sz w:val="28"/>
          <w:szCs w:val="28"/>
        </w:rPr>
        <w:t xml:space="preserve"> 53-ФЗ </w:t>
      </w:r>
      <w:r>
        <w:rPr>
          <w:rFonts w:ascii="Times New Roman" w:hAnsi="Times New Roman"/>
          <w:sz w:val="28"/>
          <w:szCs w:val="28"/>
        </w:rPr>
        <w:t xml:space="preserve">«</w:t>
      </w:r>
      <w:r>
        <w:rPr>
          <w:rFonts w:ascii="Times New Roman" w:hAnsi="Times New Roman"/>
          <w:sz w:val="28"/>
          <w:szCs w:val="28"/>
        </w:rPr>
        <w:t xml:space="preserve">О воинской обязанности и военной службе</w:t>
      </w:r>
      <w:r>
        <w:rPr>
          <w:rFonts w:ascii="Times New Roman" w:hAnsi="Times New Roman"/>
          <w:sz w:val="28"/>
          <w:szCs w:val="28"/>
        </w:rPr>
        <w:t xml:space="preserve">»</w:t>
      </w:r>
      <w:r>
        <w:rPr>
          <w:rFonts w:ascii="Times New Roman" w:hAnsi="Times New Roman"/>
          <w:sz w:val="28"/>
          <w:szCs w:val="28"/>
        </w:rPr>
        <w:t xml:space="preserve">; </w:t>
      </w:r>
    </w:p>
    <w:p>
      <w:pPr>
        <w:pStyle w:val="a7"/>
        <w:spacing w:after="0" w:line="240" w:lineRule="auto"/>
        <w:ind w:left="0" w:right="-1" w:firstLine="709"/>
        <w:jc w:val="both"/>
        <w:rPr>
          <w:rFonts w:ascii="Times New Roman" w:hAnsi="Times New Roman"/>
          <w:sz w:val="28"/>
          <w:szCs w:val="28"/>
        </w:rPr>
      </w:pPr>
      <w:r>
        <w:rPr>
          <w:rFonts w:ascii="Times New Roman" w:hAnsi="Times New Roman"/>
          <w:sz w:val="28"/>
          <w:szCs w:val="28"/>
        </w:rPr>
        <w:t xml:space="preserve">11)</w:t>
      </w:r>
      <w:r>
        <w:rPr>
          <w:rFonts w:ascii="Times New Roman" w:hAnsi="Times New Roman"/>
          <w:sz w:val="28"/>
          <w:szCs w:val="28"/>
        </w:rPr>
        <w:t xml:space="preserve"> инвалиды войны, участники боевых действий, а также ветераны боевых действий из числа лиц, указанных в </w:t>
      </w:r>
      <w:hyperlink r:id="rId15" w:history="1">
        <w:r>
          <w:rPr>
            <w:rFonts w:ascii="Times New Roman" w:hAnsi="Times New Roman"/>
            <w:sz w:val="28"/>
            <w:szCs w:val="28"/>
          </w:rPr>
          <w:t xml:space="preserve">подпунктах 1</w:t>
        </w:r>
      </w:hyperlink>
      <w:r>
        <w:rPr>
          <w:rFonts w:ascii="Times New Roman" w:hAnsi="Times New Roman"/>
          <w:sz w:val="28"/>
          <w:szCs w:val="28"/>
        </w:rPr>
        <w:t xml:space="preserve"> </w:t>
      </w:r>
      <w:r>
        <w:rPr>
          <w:rFonts w:ascii="Times New Roman" w:hAnsi="Times New Roman"/>
          <w:sz w:val="28"/>
          <w:szCs w:val="28"/>
        </w:rPr>
        <w:t xml:space="preserve">–</w:t>
      </w:r>
      <w:r>
        <w:rPr>
          <w:rFonts w:ascii="Times New Roman" w:hAnsi="Times New Roman"/>
          <w:sz w:val="28"/>
          <w:szCs w:val="28"/>
        </w:rPr>
        <w:t xml:space="preserve"> </w:t>
      </w:r>
      <w:hyperlink r:id="rId16" w:history="1">
        <w:r>
          <w:rPr>
            <w:rFonts w:ascii="Times New Roman" w:hAnsi="Times New Roman"/>
            <w:sz w:val="28"/>
            <w:szCs w:val="28"/>
          </w:rPr>
          <w:t xml:space="preserve">4 пункта 1 статьи 3</w:t>
        </w:r>
      </w:hyperlink>
      <w:r>
        <w:rPr>
          <w:rFonts w:ascii="Times New Roman" w:hAnsi="Times New Roman"/>
          <w:sz w:val="28"/>
          <w:szCs w:val="28"/>
        </w:rPr>
        <w:t xml:space="preserve"> Федерального закона от 12</w:t>
      </w:r>
      <w:r>
        <w:rPr>
          <w:rFonts w:ascii="Times New Roman" w:hAnsi="Times New Roman"/>
          <w:sz w:val="28"/>
          <w:szCs w:val="28"/>
        </w:rPr>
        <w:t xml:space="preserve">.01.</w:t>
      </w:r>
      <w:r>
        <w:rPr>
          <w:rFonts w:ascii="Times New Roman" w:hAnsi="Times New Roman"/>
          <w:sz w:val="28"/>
          <w:szCs w:val="28"/>
        </w:rPr>
        <w:t xml:space="preserve">1995 </w:t>
      </w:r>
      <w:r>
        <w:rPr>
          <w:rFonts w:ascii="Times New Roman" w:hAnsi="Times New Roman"/>
          <w:sz w:val="28"/>
          <w:szCs w:val="28"/>
        </w:rPr>
        <w:t xml:space="preserve">№</w:t>
      </w:r>
      <w:r>
        <w:rPr>
          <w:rFonts w:ascii="Times New Roman" w:hAnsi="Times New Roman"/>
          <w:sz w:val="28"/>
          <w:szCs w:val="28"/>
        </w:rPr>
        <w:t xml:space="preserve"> 5-ФЗ </w:t>
      </w:r>
      <w:r>
        <w:rPr>
          <w:rFonts w:ascii="Times New Roman" w:hAnsi="Times New Roman"/>
          <w:sz w:val="28"/>
          <w:szCs w:val="28"/>
        </w:rPr>
        <w:t xml:space="preserve">«</w:t>
      </w:r>
      <w:r>
        <w:rPr>
          <w:rFonts w:ascii="Times New Roman" w:hAnsi="Times New Roman"/>
          <w:sz w:val="28"/>
          <w:szCs w:val="28"/>
        </w:rPr>
        <w:t xml:space="preserve">О ветеранах</w:t>
      </w:r>
      <w:r>
        <w:rPr>
          <w:rFonts w:ascii="Times New Roman" w:hAnsi="Times New Roman"/>
          <w:sz w:val="28"/>
          <w:szCs w:val="28"/>
        </w:rPr>
        <w:t xml:space="preserve">»</w:t>
      </w:r>
      <w:r>
        <w:rPr>
          <w:rFonts w:ascii="Times New Roman" w:hAnsi="Times New Roman"/>
          <w:sz w:val="28"/>
          <w:szCs w:val="28"/>
        </w:rPr>
        <w:t xml:space="preserve">; </w:t>
      </w:r>
    </w:p>
    <w:p>
      <w:pPr>
        <w:pStyle w:val="a7"/>
        <w:spacing w:after="0" w:line="240" w:lineRule="auto"/>
        <w:ind w:left="0" w:right="-1" w:firstLine="709"/>
        <w:jc w:val="both"/>
        <w:rPr>
          <w:rFonts w:ascii="Times New Roman" w:hAnsi="Times New Roman"/>
          <w:sz w:val="28"/>
          <w:szCs w:val="28"/>
        </w:rPr>
      </w:pPr>
      <w:r>
        <w:rPr>
          <w:rFonts w:ascii="Times New Roman" w:hAnsi="Times New Roman"/>
          <w:sz w:val="28"/>
          <w:szCs w:val="28"/>
        </w:rPr>
        <w:t xml:space="preserve">12)</w:t>
      </w:r>
      <w:r>
        <w:rPr>
          <w:rFonts w:ascii="Times New Roman" w:hAnsi="Times New Roman"/>
          <w:sz w:val="28"/>
          <w:szCs w:val="28"/>
        </w:rPr>
        <w:t xml:space="preserve"> граждане, непосредственно принимавшие участие в испытаниях ядерного оружия, боевых радиоактивных веществ в атмосфере, ядерного оружия под землей, в учениях с применением таких оружия и боевых радиоактивных веществ до даты фактического прекращения указанных испытаний и учений, непосредственные участники ликвидации радиационных аварий на ядерных установках надводных и подводных кораблей и других военных объектах, непосредственные участники проведения и обеспечения работ по сбору и захоронению радиоактивных веществ, а также непосредственные участники ликвидации последствий этих аварий (военнослужащие и лица из числа вольнонаемного состава Вооруженных Сил Российской Федерации, военнослужащие внутренних войск Министерства внутренних дел Российской Федерации или федеральных государственных органов, военнослужащие и сотрудники Федеральной службы войск национальной гвардии Российской Федерации, лица, проходившие службу в железнодорожных войсках и других воинских формированиях, сотрудники органов внутренних дел Российской Федерации и федеральной противопожарной службы Государственной противопожарной службы); </w:t>
      </w:r>
    </w:p>
    <w:p>
      <w:pPr>
        <w:pStyle w:val="a7"/>
        <w:spacing w:after="0" w:line="240" w:lineRule="auto"/>
        <w:ind w:left="0" w:right="-1" w:firstLine="709"/>
        <w:jc w:val="both"/>
        <w:rPr>
          <w:rFonts w:ascii="Times New Roman" w:hAnsi="Times New Roman"/>
          <w:sz w:val="28"/>
          <w:szCs w:val="28"/>
        </w:rPr>
      </w:pPr>
      <w:r>
        <w:rPr>
          <w:rFonts w:ascii="Times New Roman" w:hAnsi="Times New Roman"/>
          <w:sz w:val="28"/>
          <w:szCs w:val="28"/>
        </w:rPr>
        <w:t xml:space="preserve">13)</w:t>
      </w:r>
      <w:r>
        <w:rPr>
          <w:rFonts w:ascii="Times New Roman" w:hAnsi="Times New Roman"/>
          <w:sz w:val="28"/>
          <w:szCs w:val="28"/>
        </w:rPr>
        <w:t xml:space="preserve"> военнослужащие, сотрудники Федеральной службы войск национальной гвардии Российской Федерации, органов внутренних дел Российской Федерации, уголовно-исполнительной системы, федеральной противопожарной службы Государственной противопожарной службы, выполнявшие задачи в условиях вооруженного конфликта в Чеченской Республике и на прилегающих к ней территориях, отнесенных к зоне вооруженного конфликта, и указанные военнослужащие, выполняющие задачи в ходе контртеррористических операций на территории Северо-Кавказского региона; </w:t>
      </w:r>
    </w:p>
    <w:p>
      <w:pPr>
        <w:pStyle w:val="a7"/>
        <w:spacing w:after="0" w:line="240" w:lineRule="auto"/>
        <w:ind w:left="0" w:right="-1" w:firstLine="709"/>
        <w:jc w:val="both"/>
        <w:rPr>
          <w:rFonts w:ascii="Times New Roman" w:hAnsi="Times New Roman"/>
          <w:sz w:val="28"/>
          <w:szCs w:val="28"/>
        </w:rPr>
      </w:pPr>
      <w:r>
        <w:rPr>
          <w:rFonts w:ascii="Times New Roman" w:hAnsi="Times New Roman"/>
          <w:sz w:val="28"/>
          <w:szCs w:val="28"/>
        </w:rPr>
        <w:t xml:space="preserve">14)</w:t>
      </w:r>
      <w:r>
        <w:rPr>
          <w:rFonts w:ascii="Times New Roman" w:hAnsi="Times New Roman"/>
          <w:sz w:val="28"/>
          <w:szCs w:val="28"/>
        </w:rPr>
        <w:t xml:space="preserve"> </w:t>
      </w:r>
      <w:r>
        <w:rPr>
          <w:rFonts w:ascii="Times New Roman" w:hAnsi="Times New Roman"/>
          <w:sz w:val="28"/>
          <w:szCs w:val="28"/>
        </w:rPr>
        <w:t xml:space="preserve">Герои Российской Федерации, лица, награжденные тремя орденами Мужества;</w:t>
      </w:r>
    </w:p>
    <w:p>
      <w:pPr>
        <w:pStyle w:val="a7"/>
        <w:spacing w:after="0" w:line="240" w:lineRule="auto"/>
        <w:ind w:left="0" w:right="-1" w:firstLine="709"/>
        <w:jc w:val="both"/>
        <w:rPr>
          <w:rFonts w:ascii="Times New Roman" w:hAnsi="Times New Roman"/>
          <w:sz w:val="28"/>
          <w:szCs w:val="28"/>
        </w:rPr>
      </w:pPr>
      <w:r>
        <w:rPr>
          <w:rFonts w:ascii="Times New Roman" w:hAnsi="Times New Roman"/>
          <w:sz w:val="28"/>
          <w:szCs w:val="28"/>
        </w:rPr>
        <w:t xml:space="preserve">15)</w:t>
      </w:r>
      <w:r>
        <w:rPr>
          <w:rFonts w:ascii="Times New Roman" w:hAnsi="Times New Roman"/>
          <w:sz w:val="28"/>
          <w:szCs w:val="28"/>
        </w:rPr>
        <w:t xml:space="preserve"> граждане, проходящие (проходившие) военную службу в Вооруженных Силах Российской Федерации, граждане, проходящие (проходившие) военную службу (службу) в войсках национальной гвардии Российской Федерации, в воинских формированиях и органах, указанных в </w:t>
      </w:r>
      <w:hyperlink r:id="rId17" w:history="1">
        <w:r>
          <w:rPr>
            <w:rFonts w:ascii="Times New Roman" w:hAnsi="Times New Roman"/>
            <w:sz w:val="28"/>
            <w:szCs w:val="28"/>
          </w:rPr>
          <w:t xml:space="preserve">пункте 6 статьи 1</w:t>
        </w:r>
      </w:hyperlink>
      <w:r>
        <w:rPr>
          <w:rFonts w:ascii="Times New Roman" w:hAnsi="Times New Roman"/>
          <w:sz w:val="28"/>
          <w:szCs w:val="28"/>
        </w:rPr>
        <w:t xml:space="preserve"> Федерального закона от 31</w:t>
      </w:r>
      <w:r>
        <w:rPr>
          <w:rFonts w:ascii="Times New Roman" w:hAnsi="Times New Roman"/>
          <w:sz w:val="28"/>
          <w:szCs w:val="28"/>
        </w:rPr>
        <w:t xml:space="preserve">.05.</w:t>
      </w:r>
      <w:r>
        <w:rPr>
          <w:rFonts w:ascii="Times New Roman" w:hAnsi="Times New Roman"/>
          <w:sz w:val="28"/>
          <w:szCs w:val="28"/>
        </w:rPr>
        <w:t xml:space="preserve">1996 </w:t>
      </w:r>
      <w:r>
        <w:rPr>
          <w:rFonts w:ascii="Times New Roman" w:hAnsi="Times New Roman"/>
          <w:sz w:val="28"/>
          <w:szCs w:val="28"/>
        </w:rPr>
        <w:t xml:space="preserve">№</w:t>
      </w:r>
      <w:r>
        <w:rPr>
          <w:rFonts w:ascii="Times New Roman" w:hAnsi="Times New Roman"/>
          <w:sz w:val="28"/>
          <w:szCs w:val="28"/>
        </w:rPr>
        <w:t xml:space="preserve"> 61-ФЗ </w:t>
      </w:r>
      <w:r>
        <w:rPr>
          <w:rFonts w:ascii="Times New Roman" w:hAnsi="Times New Roman"/>
          <w:sz w:val="28"/>
          <w:szCs w:val="28"/>
        </w:rPr>
        <w:t xml:space="preserve">«</w:t>
      </w:r>
      <w:r>
        <w:rPr>
          <w:rFonts w:ascii="Times New Roman" w:hAnsi="Times New Roman"/>
          <w:sz w:val="28"/>
          <w:szCs w:val="28"/>
        </w:rPr>
        <w:t xml:space="preserve">Об обороне</w:t>
      </w:r>
      <w:r>
        <w:rPr>
          <w:rFonts w:ascii="Times New Roman" w:hAnsi="Times New Roman"/>
          <w:sz w:val="28"/>
          <w:szCs w:val="28"/>
        </w:rPr>
        <w:t xml:space="preserve">»</w:t>
      </w:r>
      <w:r>
        <w:rPr>
          <w:rFonts w:ascii="Times New Roman" w:hAnsi="Times New Roman"/>
          <w:sz w:val="28"/>
          <w:szCs w:val="28"/>
        </w:rPr>
        <w:t xml:space="preserve">,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w:t>
      </w:r>
      <w:r>
        <w:rPr>
          <w:rFonts w:ascii="Times New Roman" w:hAnsi="Times New Roman"/>
          <w:sz w:val="28"/>
          <w:szCs w:val="28"/>
        </w:rPr>
        <w:t xml:space="preserve">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w:t>
      </w:r>
    </w:p>
    <w:p>
      <w:pPr>
        <w:pStyle w:val="a7"/>
        <w:spacing w:after="0" w:line="240" w:lineRule="auto"/>
        <w:ind w:left="0" w:right="-1" w:firstLine="709"/>
        <w:jc w:val="both"/>
        <w:rPr>
          <w:rFonts w:ascii="Times New Roman" w:hAnsi="Times New Roman"/>
          <w:sz w:val="28"/>
          <w:szCs w:val="28"/>
        </w:rPr>
      </w:pPr>
      <w:r>
        <w:rPr>
          <w:rFonts w:ascii="Times New Roman" w:hAnsi="Times New Roman"/>
          <w:sz w:val="28"/>
          <w:szCs w:val="28"/>
        </w:rPr>
        <w:t xml:space="preserve">16)</w:t>
      </w:r>
      <w:r>
        <w:rPr>
          <w:rFonts w:ascii="Times New Roman" w:hAnsi="Times New Roman"/>
          <w:sz w:val="28"/>
          <w:szCs w:val="28"/>
        </w:rPr>
        <w:t xml:space="preserve"> 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 </w:t>
      </w:r>
    </w:p>
    <w:p>
      <w:pPr>
        <w:pStyle w:val="a7"/>
        <w:spacing w:after="0" w:line="240" w:lineRule="auto"/>
        <w:ind w:left="0" w:right="-1" w:firstLine="709"/>
        <w:jc w:val="both"/>
        <w:rPr>
          <w:rFonts w:ascii="Times New Roman" w:hAnsi="Times New Roman"/>
          <w:sz w:val="28"/>
          <w:szCs w:val="28"/>
        </w:rPr>
      </w:pPr>
      <w:r>
        <w:rPr>
          <w:rFonts w:ascii="Times New Roman" w:hAnsi="Times New Roman"/>
          <w:sz w:val="28"/>
          <w:szCs w:val="28"/>
        </w:rPr>
        <w:t xml:space="preserve">17) </w:t>
      </w:r>
      <w:r>
        <w:rPr>
          <w:rFonts w:ascii="Times New Roman" w:hAnsi="Times New Roman"/>
          <w:sz w:val="28"/>
          <w:szCs w:val="28"/>
        </w:rPr>
        <w:t xml:space="preserve">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w:t>
      </w:r>
    </w:p>
    <w:p>
      <w:pPr>
        <w:pStyle w:val="a7"/>
        <w:spacing w:after="0" w:line="240" w:lineRule="auto"/>
        <w:ind w:left="0" w:right="-1" w:firstLine="709"/>
        <w:jc w:val="both"/>
        <w:rPr>
          <w:rFonts w:ascii="Times New Roman" w:hAnsi="Times New Roman"/>
          <w:sz w:val="28"/>
          <w:szCs w:val="28"/>
        </w:rPr>
      </w:pPr>
      <w:r>
        <w:rPr>
          <w:rFonts w:ascii="Times New Roman" w:hAnsi="Times New Roman"/>
          <w:sz w:val="28"/>
          <w:szCs w:val="28"/>
        </w:rPr>
        <w:t xml:space="preserve">18) </w:t>
      </w:r>
      <w:r>
        <w:rPr>
          <w:rFonts w:ascii="Times New Roman" w:hAnsi="Times New Roman"/>
          <w:sz w:val="28"/>
          <w:szCs w:val="28"/>
        </w:rPr>
        <w:t xml:space="preserve">дети лиц, указанных в </w:t>
      </w:r>
      <w:r>
        <w:rPr>
          <w:rFonts w:ascii="Times New Roman" w:hAnsi="Times New Roman"/>
          <w:sz w:val="28"/>
          <w:szCs w:val="28"/>
        </w:rPr>
        <w:t xml:space="preserve">под</w:t>
      </w:r>
      <w:r>
        <w:rPr>
          <w:rFonts w:ascii="Times New Roman" w:hAnsi="Times New Roman"/>
          <w:sz w:val="28"/>
          <w:szCs w:val="28"/>
        </w:rPr>
        <w:t xml:space="preserve">пунктах </w:t>
      </w:r>
      <w:r>
        <w:rPr>
          <w:rFonts w:ascii="Times New Roman" w:hAnsi="Times New Roman"/>
          <w:sz w:val="28"/>
          <w:szCs w:val="28"/>
        </w:rPr>
        <w:t xml:space="preserve">15-17</w:t>
      </w:r>
      <w:r>
        <w:rPr>
          <w:rFonts w:ascii="Times New Roman" w:hAnsi="Times New Roman"/>
          <w:sz w:val="28"/>
          <w:szCs w:val="28"/>
        </w:rPr>
        <w:t xml:space="preserve"> </w:t>
      </w:r>
      <w:r>
        <w:rPr>
          <w:rFonts w:ascii="Times New Roman" w:hAnsi="Times New Roman"/>
          <w:sz w:val="28"/>
          <w:szCs w:val="28"/>
        </w:rPr>
        <w:t xml:space="preserve">настоящего раздела</w:t>
      </w:r>
      <w:r>
        <w:rPr>
          <w:rFonts w:ascii="Times New Roman" w:hAnsi="Times New Roman"/>
          <w:sz w:val="28"/>
          <w:szCs w:val="28"/>
        </w:rPr>
        <w:t xml:space="preserve">;  </w:t>
      </w:r>
    </w:p>
    <w:p>
      <w:pPr>
        <w:pStyle w:val="a7"/>
        <w:spacing w:after="0" w:line="240" w:lineRule="auto"/>
        <w:ind w:left="0" w:right="-1" w:firstLine="709"/>
        <w:jc w:val="both"/>
        <w:rPr>
          <w:rFonts w:ascii="Times New Roman" w:hAnsi="Times New Roman"/>
          <w:sz w:val="28"/>
          <w:szCs w:val="28"/>
        </w:rPr>
      </w:pPr>
      <w:r>
        <w:rPr>
          <w:rFonts w:ascii="Times New Roman" w:hAnsi="Times New Roman"/>
          <w:sz w:val="28"/>
          <w:szCs w:val="28"/>
        </w:rPr>
        <w:t xml:space="preserve">19</w:t>
      </w:r>
      <w:r>
        <w:rPr>
          <w:rFonts w:ascii="Times New Roman" w:hAnsi="Times New Roman"/>
          <w:sz w:val="28"/>
          <w:szCs w:val="28"/>
        </w:rPr>
        <w:t xml:space="preserve">) дети военнослужащих,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сотрудников уголовно-исполнительной системы Российской Федерации, направленных в другие государства органами государственной власти Российской Федерации и принимавших участие в боевых действиях при исполнении служебных обязанностей в этих государствах либо в соответствии с решениями органов государственной власти Российской Федерации принимавших участие в боевых действиях на территории Российской Федерации; </w:t>
      </w:r>
    </w:p>
    <w:p>
      <w:pPr>
        <w:pStyle w:val="a7"/>
        <w:spacing w:after="0" w:line="240" w:lineRule="auto"/>
        <w:ind w:left="0" w:right="-1" w:firstLine="709"/>
        <w:jc w:val="both"/>
        <w:rPr>
          <w:rFonts w:ascii="Times New Roman" w:hAnsi="Times New Roman"/>
          <w:sz w:val="28"/>
          <w:szCs w:val="28"/>
        </w:rPr>
      </w:pPr>
      <w:r>
        <w:rPr>
          <w:rFonts w:ascii="Times New Roman" w:hAnsi="Times New Roman"/>
          <w:sz w:val="28"/>
          <w:szCs w:val="28"/>
        </w:rPr>
        <w:t xml:space="preserve">20</w:t>
      </w:r>
      <w:r>
        <w:rPr>
          <w:rFonts w:ascii="Times New Roman" w:hAnsi="Times New Roman"/>
          <w:sz w:val="28"/>
          <w:szCs w:val="28"/>
        </w:rPr>
        <w:t xml:space="preserve">) дети медицинских работников, умерших в результате инфицирования новой коронавирусной инфекцией (COVID-19) при исполнении ими трудовых </w:t>
      </w:r>
      <w:r>
        <w:rPr>
          <w:rFonts w:ascii="Times New Roman" w:hAnsi="Times New Roman"/>
          <w:sz w:val="28"/>
          <w:szCs w:val="28"/>
        </w:rPr>
        <w:t xml:space="preserve">обязанностей, по основным профессиональным образовательным программам медицинского образования и фармацевтического образования; </w:t>
      </w:r>
    </w:p>
    <w:p>
      <w:pPr>
        <w:pStyle w:val="a7"/>
        <w:spacing w:after="0" w:line="240" w:lineRule="auto"/>
        <w:ind w:left="0" w:right="-1" w:firstLine="709"/>
        <w:jc w:val="both"/>
        <w:rPr>
          <w:rFonts w:ascii="Times New Roman" w:hAnsi="Times New Roman"/>
          <w:sz w:val="28"/>
          <w:szCs w:val="28"/>
        </w:rPr>
      </w:pPr>
      <w:r>
        <w:rPr>
          <w:rFonts w:ascii="Times New Roman" w:hAnsi="Times New Roman"/>
          <w:sz w:val="28"/>
          <w:szCs w:val="28"/>
        </w:rPr>
        <w:t xml:space="preserve">21</w:t>
      </w:r>
      <w:r>
        <w:rPr>
          <w:rFonts w:ascii="Times New Roman" w:hAnsi="Times New Roman"/>
          <w:sz w:val="28"/>
          <w:szCs w:val="28"/>
        </w:rPr>
        <w:t xml:space="preserve">) вдовы (вдовцы) лиц, указанных в </w:t>
      </w:r>
      <w:r>
        <w:rPr>
          <w:rFonts w:ascii="Times New Roman" w:hAnsi="Times New Roman"/>
          <w:sz w:val="28"/>
          <w:szCs w:val="28"/>
        </w:rPr>
        <w:t xml:space="preserve">под</w:t>
      </w:r>
      <w:r>
        <w:rPr>
          <w:rFonts w:ascii="Times New Roman" w:hAnsi="Times New Roman"/>
          <w:sz w:val="28"/>
          <w:szCs w:val="28"/>
        </w:rPr>
        <w:t xml:space="preserve">пунктах </w:t>
      </w:r>
      <w:r>
        <w:rPr>
          <w:rFonts w:ascii="Times New Roman" w:hAnsi="Times New Roman"/>
          <w:sz w:val="28"/>
          <w:szCs w:val="28"/>
        </w:rPr>
        <w:t xml:space="preserve">15 и 16</w:t>
      </w:r>
      <w:r>
        <w:rPr>
          <w:rFonts w:ascii="Times New Roman" w:hAnsi="Times New Roman"/>
          <w:sz w:val="28"/>
          <w:szCs w:val="28"/>
        </w:rPr>
        <w:t xml:space="preserve"> настояще</w:t>
      </w:r>
      <w:r>
        <w:rPr>
          <w:rFonts w:ascii="Times New Roman" w:hAnsi="Times New Roman"/>
          <w:sz w:val="28"/>
          <w:szCs w:val="28"/>
        </w:rPr>
        <w:t xml:space="preserve">го раздела</w:t>
      </w:r>
      <w:r>
        <w:rPr>
          <w:rFonts w:ascii="Times New Roman" w:hAnsi="Times New Roman"/>
          <w:sz w:val="28"/>
          <w:szCs w:val="28"/>
        </w:rPr>
        <w:t xml:space="preserve">, военнослужащих,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сотрудников уголовно-исполнительной системы Российской Федерации, направленных в другие государства органами государственной власти Российской Федерации и принимавших участие в боевых действиях при исполнении служебных обязанностей в этих государствах либо в соответствии с решениями органов государственной власти Российской Федерации принимавших участие в боевых действиях на территории Российской Федерации, погибших при исполнении ими обязанностей военной службы (служебных обязанностей),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ходе специальной военной операции (боевых действий на территории Российской Федерации или территориях других государств) или умерших вследствие увечья (ранения, травмы, контузии) либо заболеваний, полученных ими при исполнении обязанностей военной службы (служебных обязанностей),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ходе специальной военной операции (боевых действий на территории Российской Федерации или территориях других государств), которые после смерти супруга (супруги) не вступили в новый брак; </w:t>
      </w:r>
    </w:p>
    <w:p>
      <w:pPr>
        <w:pStyle w:val="a7"/>
        <w:spacing w:after="0" w:line="240" w:lineRule="auto"/>
        <w:ind w:left="0" w:right="-1" w:firstLine="709"/>
        <w:jc w:val="both"/>
        <w:rPr>
          <w:rFonts w:ascii="Times New Roman" w:hAnsi="Times New Roman"/>
          <w:sz w:val="28"/>
          <w:szCs w:val="28"/>
        </w:rPr>
      </w:pPr>
      <w:r>
        <w:rPr>
          <w:rFonts w:ascii="Times New Roman" w:hAnsi="Times New Roman"/>
          <w:sz w:val="28"/>
          <w:szCs w:val="28"/>
        </w:rPr>
        <w:t xml:space="preserve">22</w:t>
      </w:r>
      <w:r>
        <w:rPr>
          <w:rFonts w:ascii="Times New Roman" w:hAnsi="Times New Roman"/>
          <w:sz w:val="28"/>
          <w:szCs w:val="28"/>
        </w:rPr>
        <w:t xml:space="preserve">) вдовы (вдовцы) лиц, указанных в </w:t>
      </w:r>
      <w:r>
        <w:rPr>
          <w:rFonts w:ascii="Times New Roman" w:hAnsi="Times New Roman"/>
          <w:sz w:val="28"/>
          <w:szCs w:val="28"/>
        </w:rPr>
        <w:t xml:space="preserve">подпункте 17 </w:t>
      </w:r>
      <w:r>
        <w:rPr>
          <w:rFonts w:ascii="Times New Roman" w:hAnsi="Times New Roman"/>
          <w:sz w:val="28"/>
          <w:szCs w:val="28"/>
        </w:rPr>
        <w:t xml:space="preserve">настояще</w:t>
      </w:r>
      <w:r>
        <w:rPr>
          <w:rFonts w:ascii="Times New Roman" w:hAnsi="Times New Roman"/>
          <w:sz w:val="28"/>
          <w:szCs w:val="28"/>
        </w:rPr>
        <w:t xml:space="preserve">го раздела</w:t>
      </w:r>
      <w:r>
        <w:rPr>
          <w:rFonts w:ascii="Times New Roman" w:hAnsi="Times New Roman"/>
          <w:sz w:val="28"/>
          <w:szCs w:val="28"/>
        </w:rPr>
        <w:t xml:space="preserve">, погибших в связи с участием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года или умерших вследствие увечья (ранения, травмы, контузии) либо заболеваний, полученных ими в связи с участием в указанных боевых действиях, которые после смерти супруга (супруги) не вступили в новый брак.</w:t>
      </w:r>
    </w:p>
    <w:p>
      <w:pPr>
        <w:pStyle w:val="a7"/>
        <w:spacing w:after="0" w:line="240" w:lineRule="auto"/>
        <w:ind w:left="0" w:right="-1"/>
        <w:jc w:val="center"/>
        <w:rPr>
          <w:rFonts w:ascii="Times New Roman" w:hAnsi="Times New Roman"/>
          <w:sz w:val="28"/>
          <w:szCs w:val="28"/>
        </w:rPr>
      </w:pPr>
      <w:r>
        <w:rPr>
          <w:rFonts w:ascii="Times New Roman" w:hAnsi="Times New Roman"/>
          <w:sz w:val="28"/>
          <w:szCs w:val="28"/>
        </w:rPr>
        <w:t xml:space="preserve">***</w:t>
      </w:r>
    </w:p>
    <w:p>
      <w:pPr>
        <w:pStyle w:val="a7"/>
        <w:spacing w:after="0" w:line="240" w:lineRule="auto"/>
        <w:ind w:left="0" w:right="-1" w:firstLine="709"/>
        <w:jc w:val="both"/>
        <w:rPr>
          <w:rFonts w:ascii="Times New Roman" w:hAnsi="Times New Roman"/>
          <w:sz w:val="28"/>
          <w:szCs w:val="28"/>
        </w:rPr>
      </w:pPr>
      <w:r>
        <w:rPr>
          <w:rFonts w:ascii="Times New Roman" w:hAnsi="Times New Roman"/>
          <w:sz w:val="28"/>
          <w:szCs w:val="28"/>
        </w:rPr>
        <w:t xml:space="preserve">Перечисленные лица</w:t>
      </w:r>
      <w:r>
        <w:rPr>
          <w:rFonts w:ascii="Times New Roman" w:hAnsi="Times New Roman"/>
          <w:sz w:val="28"/>
          <w:szCs w:val="28"/>
        </w:rPr>
        <w:t xml:space="preserve"> принимаются на </w:t>
      </w:r>
      <w:r>
        <w:rPr>
          <w:rFonts w:ascii="Times New Roman" w:hAnsi="Times New Roman"/>
          <w:sz w:val="28"/>
          <w:szCs w:val="28"/>
        </w:rPr>
        <w:t xml:space="preserve">подготовительное отделение</w:t>
      </w:r>
      <w:r>
        <w:rPr>
          <w:rFonts w:ascii="Times New Roman" w:hAnsi="Times New Roman"/>
          <w:sz w:val="28"/>
          <w:szCs w:val="28"/>
        </w:rPr>
        <w:t xml:space="preserve"> при наличии у них среднего общего образования.</w:t>
      </w:r>
    </w:p>
    <w:p>
      <w:pPr>
        <w:pStyle w:val="a7"/>
        <w:spacing w:after="0" w:line="240" w:lineRule="auto"/>
        <w:ind w:left="0" w:right="-1" w:firstLine="709"/>
        <w:jc w:val="both"/>
        <w:rPr>
          <w:rFonts w:ascii="Times New Roman" w:hAnsi="Times New Roman"/>
          <w:sz w:val="28"/>
          <w:szCs w:val="28"/>
        </w:rPr>
      </w:pPr>
      <w:r>
        <w:rPr>
          <w:rFonts w:ascii="Times New Roman" w:hAnsi="Times New Roman"/>
          <w:sz w:val="28"/>
          <w:szCs w:val="28"/>
        </w:rPr>
        <w:t xml:space="preserve">Следующие лица принимаются на </w:t>
      </w:r>
      <w:r>
        <w:rPr>
          <w:rFonts w:ascii="Times New Roman" w:hAnsi="Times New Roman"/>
          <w:sz w:val="28"/>
          <w:szCs w:val="28"/>
        </w:rPr>
        <w:t xml:space="preserve">подготовительное отделение</w:t>
      </w:r>
      <w:r>
        <w:rPr>
          <w:rFonts w:ascii="Times New Roman" w:hAnsi="Times New Roman"/>
          <w:sz w:val="28"/>
          <w:szCs w:val="28"/>
        </w:rPr>
        <w:t xml:space="preserve"> </w:t>
      </w:r>
      <w:r>
        <w:rPr>
          <w:rFonts w:ascii="Times New Roman" w:hAnsi="Times New Roman"/>
          <w:sz w:val="28"/>
          <w:szCs w:val="28"/>
        </w:rPr>
        <w:t xml:space="preserve">также в период освоения ими образовательных программ </w:t>
      </w:r>
      <w:r>
        <w:rPr>
          <w:rFonts w:ascii="Times New Roman" w:hAnsi="Times New Roman"/>
          <w:sz w:val="28"/>
          <w:szCs w:val="28"/>
        </w:rPr>
        <w:t xml:space="preserve">среднего общего образования:</w:t>
      </w:r>
    </w:p>
    <w:p>
      <w:pPr>
        <w:pStyle w:val="a7"/>
        <w:spacing w:after="0" w:line="240" w:lineRule="auto"/>
        <w:ind w:left="0" w:right="-1" w:firstLine="709"/>
        <w:jc w:val="both"/>
        <w:rPr>
          <w:rFonts w:ascii="Times New Roman" w:hAnsi="Times New Roman"/>
          <w:sz w:val="28"/>
          <w:szCs w:val="28"/>
        </w:rPr>
      </w:pPr>
      <w:r>
        <w:rPr>
          <w:rFonts w:ascii="Times New Roman" w:hAnsi="Times New Roman"/>
          <w:sz w:val="28"/>
          <w:szCs w:val="28"/>
        </w:rPr>
        <w:t xml:space="preserve">– лица, указанные в подпунктах 1, 14, 20;</w:t>
      </w:r>
    </w:p>
    <w:p>
      <w:pPr>
        <w:pStyle w:val="a7"/>
        <w:spacing w:after="0" w:line="240" w:lineRule="auto"/>
        <w:ind w:left="0" w:right="-1" w:firstLine="709"/>
        <w:jc w:val="both"/>
        <w:rPr>
          <w:rFonts w:ascii="Times New Roman" w:hAnsi="Times New Roman"/>
          <w:sz w:val="28"/>
          <w:szCs w:val="28"/>
        </w:rPr>
      </w:pPr>
      <w:r>
        <w:rPr>
          <w:rFonts w:ascii="Times New Roman" w:hAnsi="Times New Roman"/>
          <w:sz w:val="28"/>
          <w:szCs w:val="28"/>
        </w:rPr>
        <w:t xml:space="preserve">– дети лиц, указанных в подпунктах 15-17, дети военнослужащих и сотрудников, указанных в подпункте 19, погибших или получивших увечье (ранение, травму, контузию) либо заболевание при исполнении обязанностей военной службы (служебных обязанностей) в ходе специальной военной операции (боевых действий на территории Российской Федерации или</w:t>
      </w:r>
      <w:r>
        <w:rPr>
          <w:rFonts w:ascii="Times New Roman" w:hAnsi="Times New Roman"/>
          <w:sz w:val="28"/>
          <w:szCs w:val="28"/>
        </w:rPr>
        <w:t xml:space="preserve"> территориях иностранных государств) </w:t>
      </w:r>
      <w:r>
        <w:rPr>
          <w:rFonts w:ascii="Times New Roman" w:hAnsi="Times New Roman"/>
          <w:sz w:val="28"/>
          <w:szCs w:val="28"/>
        </w:rPr>
        <w:t xml:space="preserve">либо удостоенных звания Героя Российской Федерации или награжденных тремя орденами Мужеств</w:t>
      </w:r>
      <w:r>
        <w:rPr>
          <w:rFonts w:ascii="Times New Roman" w:hAnsi="Times New Roman"/>
          <w:sz w:val="28"/>
          <w:szCs w:val="28"/>
        </w:rPr>
        <w:t xml:space="preserve">а.</w:t>
      </w:r>
    </w:p>
    <w:p>
      <w:pPr>
        <w:pStyle w:val="a7"/>
        <w:spacing w:after="0" w:line="240" w:lineRule="auto"/>
        <w:ind w:left="0" w:right="-1" w:firstLine="709"/>
        <w:jc w:val="both"/>
        <w:rPr>
          <w:sz w:val="28"/>
          <w:szCs w:val="28"/>
          <w:highlight w:val="yellow"/>
        </w:rPr>
      </w:pPr>
      <w:r>
        <w:rPr>
          <w:rFonts w:ascii="Times New Roman" w:hAnsi="Times New Roman"/>
          <w:sz w:val="28"/>
          <w:szCs w:val="28"/>
        </w:rPr>
        <w:t xml:space="preserve">Правом на прием на </w:t>
      </w:r>
      <w:r>
        <w:rPr>
          <w:rFonts w:ascii="Times New Roman" w:hAnsi="Times New Roman"/>
          <w:sz w:val="28"/>
          <w:szCs w:val="28"/>
        </w:rPr>
        <w:t xml:space="preserve">подготовительное отделение федеральных государственных образовательных организаций высшего образования</w:t>
      </w:r>
      <w:r>
        <w:rPr>
          <w:rFonts w:ascii="Times New Roman" w:hAnsi="Times New Roman"/>
          <w:sz w:val="28"/>
          <w:szCs w:val="28"/>
        </w:rPr>
        <w:t xml:space="preserve"> </w:t>
      </w:r>
      <w:r>
        <w:rPr>
          <w:rFonts w:ascii="Times New Roman" w:hAnsi="Times New Roman"/>
          <w:sz w:val="28"/>
          <w:szCs w:val="28"/>
        </w:rPr>
        <w:t xml:space="preserve">для </w:t>
      </w:r>
      <w:r>
        <w:rPr>
          <w:rFonts w:ascii="Times New Roman" w:hAnsi="Times New Roman"/>
          <w:sz w:val="28"/>
          <w:szCs w:val="28"/>
        </w:rPr>
        <w:t xml:space="preserve">обучени</w:t>
      </w:r>
      <w:r>
        <w:rPr>
          <w:rFonts w:ascii="Times New Roman" w:hAnsi="Times New Roman"/>
          <w:sz w:val="28"/>
          <w:szCs w:val="28"/>
        </w:rPr>
        <w:t xml:space="preserve">я</w:t>
      </w:r>
      <w:r>
        <w:rPr>
          <w:rFonts w:ascii="Times New Roman" w:hAnsi="Times New Roman"/>
          <w:sz w:val="28"/>
          <w:szCs w:val="28"/>
        </w:rPr>
        <w:t xml:space="preserve"> за счет бюджетных ассигнований федерального бюджета гражданин вправе воспользоваться однократно.</w:t>
      </w:r>
    </w:p>
    <w:p>
      <w:pPr>
        <w:jc w:val="center"/>
        <w:rPr>
          <w:rFonts w:ascii="Times New Roman" w:hAnsi="Times New Roman"/>
          <w:b/>
          <w:sz w:val="28"/>
          <w:szCs w:val="28"/>
        </w:rPr>
      </w:pPr>
    </w:p>
    <w:sectPr>
      <w:headerReference w:type="default" r:id="rId9"/>
      <w:pgSz w:w="11906" w:h="16838"/>
      <w:pgMar w:top="1134" w:right="567" w:bottom="1134" w:left="1134" w:header="709" w:footer="709" w:gutter="0"/>
      <w:pgNumType w:start="1"/>
      <w:cols w:space="708"/>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Times New Roman">
    <w:panose1 w:val="020206030504050203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id w:val="249861416"/>
      <w:docPartObj>
        <w:docPartGallery w:val="Page Numbers (Top of Page)"/>
        <w:docPartUnique w:val="true"/>
      </w:docPartObj>
      <w:rPr>
        <w:rFonts w:ascii="Times New Roman" w:hAnsi="Times New Roman" w:cs="Times New Roman"/>
        <w:sz w:val="24"/>
      </w:rPr>
    </w:sdtPr>
    <w:sdtContent>
      <w:p>
        <w:pPr>
          <w:pStyle w:val="af3"/>
          <w:jc w:val="center"/>
          <w:rPr>
            <w:rFonts w:ascii="Times New Roman" w:hAnsi="Times New Roman" w:cs="Times New Roman"/>
            <w:sz w:val="24"/>
          </w:rPr>
        </w:pPr>
        <w:r>
          <w:rPr>
            <w:rFonts w:ascii="Times New Roman" w:hAnsi="Times New Roman" w:cs="Times New Roman"/>
            <w:sz w:val="24"/>
          </w:rPr>
          <w:fldChar w:fldCharType="begin"/>
        </w:r>
        <w:r>
          <w:rPr>
            <w:rFonts w:ascii="Times New Roman" w:hAnsi="Times New Roman" w:cs="Times New Roman"/>
            <w:sz w:val="24"/>
          </w:rPr>
          <w:instrText xml:space="preserve">PAGE   \* MERGEFORMAT</w:instrText>
        </w:r>
        <w:r>
          <w:rPr>
            <w:rFonts w:ascii="Times New Roman" w:hAnsi="Times New Roman" w:cs="Times New Roman"/>
            <w:sz w:val="24"/>
          </w:rPr>
          <w:fldChar w:fldCharType="separate"/>
        </w:r>
        <w:r>
          <w:rPr>
            <w:rFonts w:ascii="Times New Roman" w:hAnsi="Times New Roman" w:cs="Times New Roman"/>
            <w:sz w:val="24"/>
          </w:rPr>
          <w:t xml:space="preserve">2</w:t>
        </w:r>
        <w:r>
          <w:rPr>
            <w:rFonts w:ascii="Times New Roman" w:hAnsi="Times New Roman" w:cs="Times New Roman"/>
            <w:sz w:val="24"/>
          </w:rPr>
          <w:fldChar w:fldCharType="end"/>
        </w:r>
      </w:p>
    </w:sdtContent>
  </w:sdt>
  <w:p>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multiLevelType w:val="hybridMultilevel"/>
    <w:lvl w:ilvl="0" w:tplc="0419000F">
      <w:start w:val="1"/>
      <w:numFmt w:val="decimal"/>
      <w:lvlText w:val="%1."/>
      <w:lvlJc w:val="left"/>
      <w:pPr>
        <w:ind w:left="720" w:hanging="360"/>
      </w:pPr>
    </w:lvl>
    <w:lvl w:ilvl="1" w:tentative="1" w:tplc="04190019">
      <w:start w:val="1"/>
      <w:numFmt w:val="lowerLetter"/>
      <w:lvlText w:val="%2."/>
      <w:lvlJc w:val="left"/>
      <w:pPr>
        <w:ind w:left="1440" w:hanging="360"/>
      </w:pPr>
    </w:lvl>
    <w:lvl w:ilvl="2" w:tentative="1" w:tplc="0419001B">
      <w:start w:val="1"/>
      <w:numFmt w:val="lowerRoman"/>
      <w:lvlText w:val="%3."/>
      <w:lvlJc w:val="right"/>
      <w:pPr>
        <w:ind w:left="2160" w:hanging="180"/>
      </w:pPr>
    </w:lvl>
    <w:lvl w:ilvl="3" w:tentative="1" w:tplc="0419000F">
      <w:start w:val="1"/>
      <w:numFmt w:val="decimal"/>
      <w:lvlText w:val="%4."/>
      <w:lvlJc w:val="left"/>
      <w:pPr>
        <w:ind w:left="2880" w:hanging="360"/>
      </w:pPr>
    </w:lvl>
    <w:lvl w:ilvl="4" w:tentative="1" w:tplc="04190019">
      <w:start w:val="1"/>
      <w:numFmt w:val="lowerLetter"/>
      <w:lvlText w:val="%5."/>
      <w:lvlJc w:val="left"/>
      <w:pPr>
        <w:ind w:left="3600" w:hanging="360"/>
      </w:pPr>
    </w:lvl>
    <w:lvl w:ilvl="5" w:tentative="1" w:tplc="0419001B">
      <w:start w:val="1"/>
      <w:numFmt w:val="lowerRoman"/>
      <w:lvlText w:val="%6."/>
      <w:lvlJc w:val="right"/>
      <w:pPr>
        <w:ind w:left="4320" w:hanging="180"/>
      </w:pPr>
    </w:lvl>
    <w:lvl w:ilvl="6" w:tentative="1" w:tplc="0419000F">
      <w:start w:val="1"/>
      <w:numFmt w:val="decimal"/>
      <w:lvlText w:val="%7."/>
      <w:lvlJc w:val="left"/>
      <w:pPr>
        <w:ind w:left="5040" w:hanging="360"/>
      </w:pPr>
    </w:lvl>
    <w:lvl w:ilvl="7" w:tentative="1" w:tplc="04190019">
      <w:start w:val="1"/>
      <w:numFmt w:val="lowerLetter"/>
      <w:lvlText w:val="%8."/>
      <w:lvlJc w:val="left"/>
      <w:pPr>
        <w:ind w:left="5760" w:hanging="360"/>
      </w:pPr>
    </w:lvl>
    <w:lvl w:ilvl="8" w:tentative="1" w:tplc="0419001B">
      <w:start w:val="1"/>
      <w:numFmt w:val="lowerRoman"/>
      <w:lvlText w:val="%9."/>
      <w:lvlJc w:val="right"/>
      <w:pPr>
        <w:ind w:left="6480" w:hanging="180"/>
      </w:pPr>
    </w:lvl>
  </w:abstractNum>
  <w:abstractNum w:abstractNumId="2">
    <w:multiLevelType w:val="hybridMultilevel"/>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a" w:default="1">
    <w:name w:val="Normal"/>
    <w:qFormat/>
  </w:style>
  <w:style w:type="paragraph" w:styleId="1">
    <w:name w:val="heading 1"/>
    <w:basedOn w:val="a"/>
    <w:next w:val="a"/>
    <w:link w:val="10"/>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72727" w:themeColor="text1" w:themeTint="D8"/>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left w:w="108" w:type="dxa"/>
        <w:top w:w="0" w:type="dxa"/>
        <w:right w:w="108" w:type="dxa"/>
        <w:bottom w:w="0" w:type="dxa"/>
      </w:tblCellMar>
    </w:tblPr>
  </w:style>
  <w:style w:type="numbering" w:styleId="a2" w:default="1">
    <w:name w:val="No List"/>
    <w:uiPriority w:val="99"/>
    <w:semiHidden/>
    <w:unhideWhenUsed/>
  </w:style>
  <w:style w:type="character" w:styleId="10" w:customStyle="1">
    <w:name w:val="Заголовок 1 Знак"/>
    <w:basedOn w:val="a0"/>
    <w:link w:val="1"/>
    <w:uiPriority w:val="9"/>
    <w:rPr>
      <w:rFonts w:asciiTheme="majorHAnsi" w:hAnsiTheme="majorHAnsi" w:eastAsiaTheme="majorEastAsia" w:cstheme="majorBidi"/>
      <w:color w:val="0f4761" w:themeColor="accent1" w:themeShade="BF"/>
      <w:sz w:val="40"/>
      <w:szCs w:val="40"/>
    </w:rPr>
  </w:style>
  <w:style w:type="character" w:styleId="20" w:customStyle="1">
    <w:name w:val="Заголовок 2 Знак"/>
    <w:basedOn w:val="a0"/>
    <w:link w:val="2"/>
    <w:uiPriority w:val="9"/>
    <w:rPr>
      <w:rFonts w:asciiTheme="majorHAnsi" w:hAnsiTheme="majorHAnsi" w:eastAsiaTheme="majorEastAsia" w:cstheme="majorBidi"/>
      <w:color w:val="0f4761" w:themeColor="accent1" w:themeShade="BF"/>
      <w:sz w:val="32"/>
      <w:szCs w:val="32"/>
    </w:rPr>
  </w:style>
  <w:style w:type="character" w:styleId="30" w:customStyle="1">
    <w:name w:val="Заголовок 3 Знак"/>
    <w:basedOn w:val="a0"/>
    <w:link w:val="3"/>
    <w:uiPriority w:val="9"/>
    <w:semiHidden/>
    <w:rPr>
      <w:rFonts w:eastAsiaTheme="majorEastAsia" w:cstheme="majorBidi"/>
      <w:color w:val="0f4761" w:themeColor="accent1" w:themeShade="BF"/>
      <w:sz w:val="28"/>
      <w:szCs w:val="28"/>
    </w:rPr>
  </w:style>
  <w:style w:type="character" w:styleId="40" w:customStyle="1">
    <w:name w:val="Заголовок 4 Знак"/>
    <w:basedOn w:val="a0"/>
    <w:link w:val="4"/>
    <w:uiPriority w:val="9"/>
    <w:semiHidden/>
    <w:rPr>
      <w:rFonts w:eastAsiaTheme="majorEastAsia" w:cstheme="majorBidi"/>
      <w:i/>
      <w:iCs/>
      <w:color w:val="0f4761" w:themeColor="accent1" w:themeShade="BF"/>
    </w:rPr>
  </w:style>
  <w:style w:type="character" w:styleId="50" w:customStyle="1">
    <w:name w:val="Заголовок 5 Знак"/>
    <w:basedOn w:val="a0"/>
    <w:link w:val="5"/>
    <w:uiPriority w:val="9"/>
    <w:semiHidden/>
    <w:rPr>
      <w:rFonts w:eastAsiaTheme="majorEastAsia" w:cstheme="majorBidi"/>
      <w:color w:val="0f4761" w:themeColor="accent1" w:themeShade="BF"/>
    </w:rPr>
  </w:style>
  <w:style w:type="character" w:styleId="60" w:customStyle="1">
    <w:name w:val="Заголовок 6 Знак"/>
    <w:basedOn w:val="a0"/>
    <w:link w:val="6"/>
    <w:uiPriority w:val="9"/>
    <w:semiHidden/>
    <w:rPr>
      <w:rFonts w:eastAsiaTheme="majorEastAsia" w:cstheme="majorBidi"/>
      <w:i/>
      <w:iCs/>
      <w:color w:val="595959" w:themeColor="text1" w:themeTint="A6"/>
    </w:rPr>
  </w:style>
  <w:style w:type="character" w:styleId="70" w:customStyle="1">
    <w:name w:val="Заголовок 7 Знак"/>
    <w:basedOn w:val="a0"/>
    <w:link w:val="7"/>
    <w:uiPriority w:val="9"/>
    <w:semiHidden/>
    <w:rPr>
      <w:rFonts w:eastAsiaTheme="majorEastAsia" w:cstheme="majorBidi"/>
      <w:color w:val="595959" w:themeColor="text1" w:themeTint="A6"/>
    </w:rPr>
  </w:style>
  <w:style w:type="character" w:styleId="80" w:customStyle="1">
    <w:name w:val="Заголовок 8 Знак"/>
    <w:basedOn w:val="a0"/>
    <w:link w:val="8"/>
    <w:uiPriority w:val="9"/>
    <w:semiHidden/>
    <w:rPr>
      <w:rFonts w:eastAsiaTheme="majorEastAsia" w:cstheme="majorBidi"/>
      <w:i/>
      <w:iCs/>
      <w:color w:val="272727" w:themeColor="text1" w:themeTint="D8"/>
    </w:rPr>
  </w:style>
  <w:style w:type="character" w:styleId="90" w:customStyle="1">
    <w:name w:val="Заголовок 9 Знак"/>
    <w:basedOn w:val="a0"/>
    <w:link w:val="9"/>
    <w:uiPriority w:val="9"/>
    <w:semiHidden/>
    <w:rPr>
      <w:rFonts w:eastAsiaTheme="majorEastAsia" w:cstheme="majorBidi"/>
      <w:color w:val="272727" w:themeColor="text1" w:themeTint="D8"/>
    </w:rPr>
  </w:style>
  <w:style w:type="paragraph" w:styleId="a3">
    <w:name w:val="Title"/>
    <w:basedOn w:val="a"/>
    <w:next w:val="a"/>
    <w:link w:val="a4"/>
    <w:uiPriority w:val="10"/>
    <w:qFormat/>
    <w:pPr>
      <w:spacing w:after="80" w:line="240" w:lineRule="auto"/>
      <w:contextualSpacing/>
    </w:pPr>
    <w:rPr>
      <w:rFonts w:asciiTheme="majorHAnsi" w:hAnsiTheme="majorHAnsi" w:eastAsiaTheme="majorEastAsia" w:cstheme="majorBidi"/>
      <w:spacing w:val="-10"/>
      <w:sz w:val="56"/>
      <w:szCs w:val="56"/>
    </w:rPr>
  </w:style>
  <w:style w:type="character" w:styleId="a4" w:customStyle="1">
    <w:name w:val="Заголовок Знак"/>
    <w:basedOn w:val="a0"/>
    <w:link w:val="a3"/>
    <w:uiPriority w:val="10"/>
    <w:rPr>
      <w:rFonts w:asciiTheme="majorHAnsi" w:hAnsiTheme="majorHAnsi" w:eastAsiaTheme="majorEastAsia" w:cstheme="majorBidi"/>
      <w:spacing w:val="-10"/>
      <w:sz w:val="56"/>
      <w:szCs w:val="56"/>
    </w:rPr>
  </w:style>
  <w:style w:type="paragraph" w:styleId="a5">
    <w:name w:val="Subtitle"/>
    <w:basedOn w:val="a"/>
    <w:next w:val="a"/>
    <w:link w:val="a6"/>
    <w:uiPriority w:val="11"/>
    <w:qFormat/>
    <w:pPr>
      <w:numPr>
        <w:ilvl w:val="1"/>
      </w:numPr>
    </w:pPr>
    <w:rPr>
      <w:rFonts w:eastAsiaTheme="majorEastAsia" w:cstheme="majorBidi"/>
      <w:color w:val="595959" w:themeColor="text1" w:themeTint="A6"/>
      <w:spacing w:val="15"/>
      <w:sz w:val="28"/>
      <w:szCs w:val="28"/>
    </w:rPr>
  </w:style>
  <w:style w:type="character" w:styleId="a6" w:customStyle="1">
    <w:name w:val="Подзаголовок Знак"/>
    <w:basedOn w:val="a0"/>
    <w:link w:val="a5"/>
    <w:uiPriority w:val="11"/>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styleId="22" w:customStyle="1">
    <w:name w:val="Цитата 2 Знак"/>
    <w:basedOn w:val="a0"/>
    <w:link w:val="21"/>
    <w:uiPriority w:val="29"/>
    <w:rPr>
      <w:i/>
      <w:iCs/>
      <w:color w:val="404040" w:themeColor="text1" w:themeTint="BF"/>
    </w:rPr>
  </w:style>
  <w:style w:type="paragraph" w:styleId="a7">
    <w:name w:val="List Paragraph"/>
    <w:basedOn w:val="a"/>
    <w:uiPriority w:val="34"/>
    <w:qFormat/>
    <w:pPr>
      <w:ind w:left="720"/>
      <w:contextualSpacing/>
    </w:pPr>
  </w:style>
  <w:style w:type="character" w:styleId="a8">
    <w:name w:val="Intense Emphasis"/>
    <w:basedOn w:val="a0"/>
    <w:uiPriority w:val="21"/>
    <w:qFormat/>
    <w:rPr>
      <w:i/>
      <w:iCs/>
      <w:color w:val="0f4761" w:themeColor="accent1" w:themeShade="BF"/>
    </w:rPr>
  </w:style>
  <w:style w:type="paragraph" w:styleId="a9">
    <w:name w:val="Intense Quote"/>
    <w:basedOn w:val="a"/>
    <w:next w:val="a"/>
    <w:link w:val="aa"/>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aa" w:customStyle="1">
    <w:name w:val="Выделенная цитата Знак"/>
    <w:basedOn w:val="a0"/>
    <w:link w:val="a9"/>
    <w:uiPriority w:val="30"/>
    <w:rPr>
      <w:i/>
      <w:iCs/>
      <w:color w:val="0f4761" w:themeColor="accent1" w:themeShade="BF"/>
    </w:rPr>
  </w:style>
  <w:style w:type="character" w:styleId="ab">
    <w:name w:val="Intense Reference"/>
    <w:basedOn w:val="a0"/>
    <w:uiPriority w:val="32"/>
    <w:qFormat/>
    <w:rPr>
      <w:b/>
      <w:bCs/>
      <w:smallCaps/>
      <w:color w:val="0f4761" w:themeColor="accent1" w:themeShade="BF"/>
      <w:spacing w:val="5"/>
    </w:rPr>
  </w:style>
  <w:style w:type="character" w:styleId="Bodytext3" w:customStyle="1">
    <w:name w:val="Body text (3)_"/>
    <w:basedOn w:val="a0"/>
    <w:link w:val="Bodytext30"/>
    <w:rPr>
      <w:rFonts w:ascii="Times New Roman" w:hAnsi="Times New Roman" w:eastAsia="Times New Roman" w:cs="Times New Roman"/>
      <w:b/>
      <w:bCs/>
      <w:sz w:val="26"/>
      <w:szCs w:val="26"/>
      <w:shd w:val="clear" w:color="auto" w:fill="ffffff"/>
    </w:rPr>
  </w:style>
  <w:style w:type="paragraph" w:styleId="Bodytext30" w:customStyle="1">
    <w:name w:val="Body text (3)"/>
    <w:basedOn w:val="a"/>
    <w:link w:val="Bodytext3"/>
    <w:pPr>
      <w:widowControl w:val="off"/>
      <w:shd w:val="clear" w:color="auto" w:fill="ffffff"/>
      <w:spacing w:before="960" w:after="540" w:line="298" w:lineRule="exact"/>
      <w:jc w:val="center"/>
    </w:pPr>
    <w:rPr>
      <w:rFonts w:ascii="Times New Roman" w:hAnsi="Times New Roman" w:eastAsia="Times New Roman" w:cs="Times New Roman"/>
      <w:b/>
      <w:bCs/>
      <w:sz w:val="26"/>
      <w:szCs w:val="26"/>
    </w:rPr>
  </w:style>
  <w:style w:type="paragraph" w:styleId="ac">
    <w:name w:val="Normal (Web)"/>
    <w:basedOn w:val="a"/>
    <w:uiPriority w:val="99"/>
    <w:semiHidden/>
    <w:unhideWhenUsed/>
    <w:rPr>
      <w:rFonts w:ascii="Times New Roman" w:hAnsi="Times New Roman" w:cs="Times New Roman"/>
      <w:sz w:val="24"/>
      <w:szCs w:val="24"/>
    </w:rPr>
  </w:style>
  <w:style w:type="character" w:styleId="ad">
    <w:name w:val="Hyperlink"/>
    <w:basedOn w:val="a0"/>
    <w:uiPriority w:val="99"/>
    <w:unhideWhenUsed/>
    <w:rPr>
      <w:color w:val="0000ff"/>
      <w:u w:val="single"/>
    </w:rPr>
  </w:style>
  <w:style w:type="character" w:styleId="11" w:customStyle="1">
    <w:name w:val="Неразрешенное упоминание1"/>
    <w:basedOn w:val="a0"/>
    <w:uiPriority w:val="99"/>
    <w:semiHidden/>
    <w:unhideWhenUsed/>
    <w:rPr>
      <w:color w:val="605e5c"/>
      <w:shd w:val="clear" w:color="auto" w:fill="e1dfdd"/>
    </w:rPr>
  </w:style>
  <w:style w:type="table" w:styleId="ae">
    <w:name w:val="Table Grid"/>
    <w:basedOn w:val="a1"/>
    <w:uiPriority w:val="39"/>
    <w:pPr>
      <w:spacing w:after="0" w:line="240" w:lineRule="auto"/>
    </w:pPr>
    <w:rPr>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pPr>
      <w:spacing w:after="0" w:line="240" w:lineRule="auto"/>
    </w:pPr>
    <w:rPr>
      <w:rFonts w:ascii="Times New Roman" w:hAnsi="Times New Roman" w:cs="Times New Roman"/>
      <w:color w:val="000000"/>
      <w:sz w:val="24"/>
      <w:szCs w:val="24"/>
      <w14:ligatures w14:val="none"/>
    </w:rPr>
  </w:style>
  <w:style w:type="paragraph" w:styleId="af">
    <w:name w:val="footer"/>
    <w:basedOn w:val="a"/>
    <w:link w:val="af0"/>
    <w:uiPriority w:val="99"/>
    <w:unhideWhenUsed/>
    <w:pPr>
      <w:tabs>
        <w:tab w:val="center" w:pos="4677"/>
        <w:tab w:val="right" w:pos="9355"/>
      </w:tabs>
      <w:spacing w:after="0" w:line="240" w:lineRule="auto"/>
    </w:pPr>
    <w:rPr>
      <w14:ligatures w14:val="none"/>
    </w:rPr>
  </w:style>
  <w:style w:type="character" w:styleId="af0" w:customStyle="1">
    <w:name w:val="Нижний колонтитул Знак"/>
    <w:basedOn w:val="a0"/>
    <w:link w:val="af"/>
    <w:uiPriority w:val="99"/>
    <w:rPr>
      <w14:ligatures w14:val="none"/>
    </w:rPr>
  </w:style>
  <w:style w:type="paragraph" w:styleId="headertext" w:customStyle="1">
    <w:name w:val="headertext"/>
    <w:basedOn w:val="a"/>
    <w:pPr>
      <w:spacing w:before="100" w:beforeAutospacing="1" w:after="100" w:afterAutospacing="1" w:line="240" w:lineRule="auto"/>
    </w:pPr>
    <w:rPr>
      <w:rFonts w:ascii="Times New Roman" w:hAnsi="Times New Roman" w:eastAsia="Times New Roman" w:cs="Times New Roman"/>
      <w:sz w:val="24"/>
      <w:szCs w:val="24"/>
      <w:lang w:eastAsia="ru-RU"/>
      <w14:ligatures w14:val="none"/>
    </w:rPr>
  </w:style>
  <w:style w:type="paragraph" w:styleId="af1">
    <w:name w:val="Balloon Text"/>
    <w:basedOn w:val="a"/>
    <w:link w:val="af2"/>
    <w:uiPriority w:val="99"/>
    <w:semiHidden/>
    <w:unhideWhenUsed/>
    <w:pPr>
      <w:spacing w:after="0" w:line="240" w:lineRule="auto"/>
    </w:pPr>
    <w:rPr>
      <w:rFonts w:ascii="Segoe UI" w:hAnsi="Segoe UI" w:cs="Segoe UI"/>
      <w:sz w:val="18"/>
      <w:szCs w:val="18"/>
    </w:rPr>
  </w:style>
  <w:style w:type="character" w:styleId="af2" w:customStyle="1">
    <w:name w:val="Текст выноски Знак"/>
    <w:basedOn w:val="a0"/>
    <w:link w:val="af1"/>
    <w:uiPriority w:val="99"/>
    <w:semiHidden/>
    <w:rPr>
      <w:rFonts w:ascii="Segoe UI" w:hAnsi="Segoe UI" w:cs="Segoe UI"/>
      <w:sz w:val="18"/>
      <w:szCs w:val="18"/>
    </w:rPr>
  </w:style>
  <w:style w:type="paragraph" w:styleId="af3">
    <w:name w:val="header"/>
    <w:basedOn w:val="a"/>
    <w:link w:val="af4"/>
    <w:uiPriority w:val="99"/>
    <w:unhideWhenUsed/>
    <w:pPr>
      <w:tabs>
        <w:tab w:val="center" w:pos="4677"/>
        <w:tab w:val="right" w:pos="9355"/>
      </w:tabs>
      <w:spacing w:after="0" w:line="240" w:lineRule="auto"/>
    </w:pPr>
  </w:style>
  <w:style w:type="character" w:styleId="af4" w:customStyle="1">
    <w:name w:val="Верхний колонтитул Знак"/>
    <w:basedOn w:val="a0"/>
    <w:link w:val="af3"/>
    <w:uiPriority w:val="99"/>
  </w:style>
  <w:style w:type="paragraph" w:styleId="af5">
    <w:name w:val="Revision"/>
    <w:hidden/>
    <w:uiPriority w:val="99"/>
    <w:semiHidden/>
    <w:pPr>
      <w:spacing w:after="0" w:line="240" w:lineRule="auto"/>
    </w:pPr>
  </w:style>
  <w:style w:type="character" w:styleId="23" w:customStyle="1">
    <w:name w:val="Неразрешенное упоминание2"/>
    <w:basedOn w:val="a0"/>
    <w:uiPriority w:val="99"/>
    <w:semiHidden/>
    <w:unhideWhenUsed/>
    <w:rPr>
      <w:color w:val="605e5c"/>
      <w:shd w:val="clear" w:color="auto" w:fill="e1dfdd"/>
    </w:rPr>
  </w:style>
  <w:style w:type="character" w:styleId="af6">
    <w:name w:val="annotation reference"/>
    <w:basedOn w:val="a0"/>
    <w:uiPriority w:val="99"/>
    <w:semiHidden/>
    <w:unhideWhenUsed/>
    <w:rPr>
      <w:sz w:val="16"/>
      <w:szCs w:val="16"/>
    </w:rPr>
  </w:style>
  <w:style w:type="paragraph" w:styleId="af7">
    <w:name w:val="annotation text"/>
    <w:basedOn w:val="a"/>
    <w:link w:val="af8"/>
    <w:uiPriority w:val="99"/>
    <w:semiHidden/>
    <w:unhideWhenUsed/>
    <w:pPr>
      <w:spacing w:line="240" w:lineRule="auto"/>
    </w:pPr>
    <w:rPr>
      <w:sz w:val="20"/>
      <w:szCs w:val="20"/>
    </w:rPr>
  </w:style>
  <w:style w:type="character" w:styleId="af8" w:customStyle="1">
    <w:name w:val="Текст примечания Знак"/>
    <w:basedOn w:val="a0"/>
    <w:link w:val="af7"/>
    <w:uiPriority w:val="99"/>
    <w:semiHidden/>
    <w:rPr>
      <w:sz w:val="20"/>
      <w:szCs w:val="20"/>
    </w:rPr>
  </w:style>
  <w:style w:type="paragraph" w:styleId="af9">
    <w:name w:val="annotation subject"/>
    <w:basedOn w:val="af7"/>
    <w:next w:val="af7"/>
    <w:link w:val="afa"/>
    <w:uiPriority w:val="99"/>
    <w:semiHidden/>
    <w:unhideWhenUsed/>
    <w:rPr>
      <w:b/>
      <w:bCs/>
    </w:rPr>
  </w:style>
  <w:style w:type="character" w:styleId="afa" w:customStyle="1">
    <w:name w:val="Тема примечания Знак"/>
    <w:basedOn w:val="af8"/>
    <w:link w:val="af9"/>
    <w:uiPriority w:val="99"/>
    <w:semiHidden/>
    <w:rPr>
      <w:b/>
      <w:bCs/>
      <w:sz w:val="20"/>
      <w:szCs w:val="20"/>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yperlink" Target="https://login.consultant.ru/link/?req=doc&amp;amp;base=LAW&amp;amp;n=538718&amp;amp;dst=100561&amp;amp;field=134&amp;amp;date=16.07.2026" TargetMode="External"/><Relationship Id="rId11" Type="http://schemas.openxmlformats.org/officeDocument/2006/relationships/hyperlink" Target="https://login.consultant.ru/link/?req=doc&amp;amp;base=LAW&amp;amp;n=538718&amp;amp;dst=100690&amp;amp;field=134&amp;amp;date=16.07.2026" TargetMode="External"/><Relationship Id="rId12" Type="http://schemas.openxmlformats.org/officeDocument/2006/relationships/hyperlink" Target="https://login.consultant.ru/link/?req=doc&amp;amp;base=LAW&amp;amp;n=538718&amp;amp;dst=100569&amp;amp;field=134&amp;amp;date=16.07.2026" TargetMode="External"/><Relationship Id="rId13" Type="http://schemas.openxmlformats.org/officeDocument/2006/relationships/hyperlink" Target="https://login.consultant.ru/link/?req=doc&amp;amp;base=LAW&amp;amp;n=538718&amp;amp;dst=100575&amp;amp;field=134&amp;amp;date=16.07.2026" TargetMode="External"/><Relationship Id="rId14" Type="http://schemas.openxmlformats.org/officeDocument/2006/relationships/hyperlink" Target="https://login.consultant.ru/link/?req=doc&amp;amp;base=LAW&amp;amp;n=538718&amp;amp;dst=100577&amp;amp;field=134&amp;amp;date=16.07.2026" TargetMode="External"/><Relationship Id="rId15" Type="http://schemas.openxmlformats.org/officeDocument/2006/relationships/hyperlink" Target="https://login.consultant.ru/link/?req=doc&amp;amp;base=LAW&amp;amp;n=527083&amp;amp;dst=100396&amp;amp;field=134&amp;amp;date=16.07.2026" TargetMode="External"/><Relationship Id="rId16" Type="http://schemas.openxmlformats.org/officeDocument/2006/relationships/hyperlink" Target="https://login.consultant.ru/link/?req=doc&amp;amp;base=LAW&amp;amp;n=527083&amp;amp;dst=100034&amp;amp;field=134&amp;amp;date=16.07.2026" TargetMode="External"/><Relationship Id="rId17" Type="http://schemas.openxmlformats.org/officeDocument/2006/relationships/hyperlink" Target="https://login.consultant.ru/link/?req=doc&amp;amp;base=LAW&amp;amp;n=528367&amp;amp;dst=100339&amp;amp;field=134&amp;amp;date=16.07.202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Liberation Sans"/>
        <a:cs typeface="Liberation Sans"/>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Liberation Sans"/>
        <a:cs typeface="Liberation Sans"/>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Р7-Офис/2026.2.1.2269</Application>
  <Characters>11116</Characters>
  <CharactersWithSpaces>13040</CharactersWithSpaces>
  <Company/>
  <DocSecurity>0</DocSecurity>
  <HyperlinksChanged>false</HyperlinksChanged>
  <Lines>92</Lines>
  <LinksUpToDate>false</LinksUpToDate>
  <Pages>5</Pages>
  <Paragraphs>26</Paragraphs>
  <ScaleCrop>false</ScaleCrop>
  <SharedDoc>false</SharedDoc>
  <Template>Normal.dotm</Template>
  <TotalTime>619</TotalTime>
  <Words>1950</Word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Олеговна Селезнева</dc:creator>
  <cp:keywords/>
  <dc:description/>
  <cp:lastModifiedBy>anciferova</cp:lastModifiedBy>
  <cp:revision>59</cp:revision>
  <dcterms:created xsi:type="dcterms:W3CDTF">2026-07-16T08:19:00Z</dcterms:created>
  <dcterms:modified xsi:type="dcterms:W3CDTF">2026-09-02T13:08:00Z</dcterms:modified>
</cp:coreProperties>
</file>